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B67AE" w14:textId="24BE898C" w:rsidR="00306913" w:rsidRPr="00CB36C0" w:rsidRDefault="00306913" w:rsidP="00875EB8">
      <w:pPr>
        <w:spacing w:after="0"/>
        <w:jc w:val="center"/>
        <w:rPr>
          <w:rFonts w:cstheme="minorHAnsi"/>
          <w:caps/>
          <w:lang w:val="en-US"/>
        </w:rPr>
      </w:pPr>
    </w:p>
    <w:p w14:paraId="73A318A4" w14:textId="77777777" w:rsidR="00306913" w:rsidRPr="00CB36C0" w:rsidRDefault="00306913" w:rsidP="00875EB8">
      <w:pPr>
        <w:spacing w:after="0"/>
        <w:jc w:val="center"/>
        <w:rPr>
          <w:rFonts w:cstheme="minorHAnsi"/>
          <w:caps/>
          <w:lang w:val="en-GB"/>
        </w:rPr>
      </w:pPr>
    </w:p>
    <w:p w14:paraId="26AE31E3" w14:textId="7F2EC375" w:rsidR="00306913" w:rsidRPr="00CB36C0" w:rsidRDefault="00306913" w:rsidP="00875EB8">
      <w:pPr>
        <w:spacing w:after="0"/>
        <w:jc w:val="center"/>
        <w:rPr>
          <w:rFonts w:cstheme="minorHAnsi"/>
          <w:caps/>
          <w:lang w:val="en-GB"/>
        </w:rPr>
      </w:pPr>
    </w:p>
    <w:p w14:paraId="74306D1B" w14:textId="1D5AAFE2" w:rsidR="00306913" w:rsidRPr="00CB36C0" w:rsidRDefault="00306913" w:rsidP="00875EB8">
      <w:pPr>
        <w:spacing w:after="0"/>
        <w:jc w:val="center"/>
        <w:rPr>
          <w:rFonts w:cstheme="minorHAnsi"/>
          <w:caps/>
          <w:lang w:val="en-GB"/>
        </w:rPr>
      </w:pPr>
    </w:p>
    <w:p w14:paraId="4354AEFB" w14:textId="321A2317" w:rsidR="00306913" w:rsidRPr="00CB36C0" w:rsidRDefault="00306913" w:rsidP="00875EB8">
      <w:pPr>
        <w:spacing w:after="0"/>
        <w:jc w:val="center"/>
        <w:rPr>
          <w:rFonts w:cstheme="minorHAnsi"/>
          <w:caps/>
          <w:lang w:val="en-GB"/>
        </w:rPr>
      </w:pPr>
    </w:p>
    <w:p w14:paraId="2DA0C096" w14:textId="2C3636CA" w:rsidR="00306913" w:rsidRPr="00CB36C0" w:rsidRDefault="00306913" w:rsidP="00875EB8">
      <w:pPr>
        <w:spacing w:after="0"/>
        <w:jc w:val="center"/>
        <w:rPr>
          <w:rFonts w:cstheme="minorHAnsi"/>
          <w:caps/>
          <w:lang w:val="en-GB"/>
        </w:rPr>
      </w:pPr>
    </w:p>
    <w:p w14:paraId="727B3F4B" w14:textId="2B898434" w:rsidR="00306913" w:rsidRPr="00CB36C0" w:rsidRDefault="00306913" w:rsidP="00875EB8">
      <w:pPr>
        <w:spacing w:after="0"/>
        <w:jc w:val="center"/>
        <w:rPr>
          <w:rFonts w:cstheme="minorHAnsi"/>
          <w:caps/>
          <w:lang w:val="en-GB"/>
        </w:rPr>
      </w:pPr>
    </w:p>
    <w:p w14:paraId="78DE44D3" w14:textId="6148F18D" w:rsidR="00306913" w:rsidRPr="00CB36C0" w:rsidRDefault="00F252CD" w:rsidP="00F252CD">
      <w:pPr>
        <w:spacing w:after="0"/>
        <w:jc w:val="center"/>
        <w:rPr>
          <w:rFonts w:cstheme="minorHAnsi"/>
          <w:caps/>
          <w:lang w:val="en-GB"/>
        </w:rPr>
      </w:pPr>
      <w:r w:rsidRPr="00F252CD">
        <w:rPr>
          <w:rFonts w:cstheme="minorHAnsi"/>
          <w:caps/>
          <w:noProof/>
        </w:rPr>
        <w:drawing>
          <wp:inline distT="0" distB="0" distL="0" distR="0" wp14:anchorId="503170D9" wp14:editId="7D8137DC">
            <wp:extent cx="2110740" cy="594360"/>
            <wp:effectExtent l="0" t="0" r="0" b="0"/>
            <wp:docPr id="660816668" name="Picture 2"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ack background with a black square&#10;&#10;AI-generated content may be incorrect., Pict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10740" cy="594360"/>
                    </a:xfrm>
                    <a:prstGeom prst="rect">
                      <a:avLst/>
                    </a:prstGeom>
                    <a:noFill/>
                    <a:ln>
                      <a:noFill/>
                    </a:ln>
                  </pic:spPr>
                </pic:pic>
              </a:graphicData>
            </a:graphic>
          </wp:inline>
        </w:drawing>
      </w:r>
      <w:r w:rsidRPr="00F252CD">
        <w:rPr>
          <w:rFonts w:cstheme="minorHAnsi"/>
          <w:caps/>
        </w:rPr>
        <w:br/>
      </w:r>
    </w:p>
    <w:p w14:paraId="51135565" w14:textId="77777777" w:rsidR="00306913" w:rsidRPr="00CB36C0" w:rsidRDefault="00306913" w:rsidP="00875EB8">
      <w:pPr>
        <w:spacing w:after="0"/>
        <w:jc w:val="center"/>
        <w:rPr>
          <w:rFonts w:cstheme="minorHAnsi"/>
          <w:caps/>
          <w:lang w:val="en-GB"/>
        </w:rPr>
      </w:pPr>
    </w:p>
    <w:p w14:paraId="775753E9" w14:textId="77777777" w:rsidR="00306913" w:rsidRPr="00CB36C0" w:rsidRDefault="00306913" w:rsidP="00875EB8">
      <w:pPr>
        <w:spacing w:after="0"/>
        <w:jc w:val="center"/>
        <w:rPr>
          <w:rFonts w:cstheme="minorHAnsi"/>
          <w:caps/>
          <w:lang w:val="en-GB"/>
        </w:rPr>
      </w:pPr>
    </w:p>
    <w:p w14:paraId="25D0A563" w14:textId="6DBFEF97" w:rsidR="00306913" w:rsidRPr="00CB36C0" w:rsidRDefault="00875EB8" w:rsidP="00875EB8">
      <w:pPr>
        <w:spacing w:after="0"/>
        <w:jc w:val="center"/>
        <w:rPr>
          <w:rFonts w:cstheme="minorHAnsi"/>
          <w:b/>
          <w:bCs/>
          <w:caps/>
          <w:lang w:val="en-GB"/>
        </w:rPr>
      </w:pPr>
      <w:r w:rsidRPr="00CB36C0">
        <w:rPr>
          <w:rFonts w:cstheme="minorHAnsi"/>
          <w:b/>
          <w:bCs/>
          <w:caps/>
          <w:lang w:val="en-GB"/>
        </w:rPr>
        <w:t xml:space="preserve">Technical specification </w:t>
      </w:r>
    </w:p>
    <w:p w14:paraId="78F82D1F" w14:textId="77777777" w:rsidR="008D42FD" w:rsidRPr="00CB36C0" w:rsidRDefault="008D42FD" w:rsidP="00875EB8">
      <w:pPr>
        <w:spacing w:after="0"/>
        <w:jc w:val="center"/>
        <w:rPr>
          <w:rFonts w:cstheme="minorHAnsi"/>
          <w:caps/>
          <w:lang w:val="en-GB"/>
        </w:rPr>
      </w:pPr>
    </w:p>
    <w:p w14:paraId="65D110C4" w14:textId="77777777" w:rsidR="00306913" w:rsidRPr="00CB36C0" w:rsidRDefault="00306913" w:rsidP="00875EB8">
      <w:pPr>
        <w:spacing w:after="0"/>
        <w:jc w:val="center"/>
        <w:rPr>
          <w:rFonts w:cstheme="minorHAnsi"/>
          <w:caps/>
          <w:lang w:val="en-GB"/>
        </w:rPr>
      </w:pPr>
    </w:p>
    <w:p w14:paraId="04BFD636" w14:textId="77777777" w:rsidR="0072411B" w:rsidRDefault="00875EB8" w:rsidP="00875EB8">
      <w:pPr>
        <w:spacing w:after="0"/>
        <w:jc w:val="center"/>
        <w:rPr>
          <w:rFonts w:cstheme="minorHAnsi"/>
          <w:caps/>
          <w:lang w:val="en-GB"/>
        </w:rPr>
      </w:pPr>
      <w:r w:rsidRPr="00CB36C0">
        <w:rPr>
          <w:rFonts w:cstheme="minorHAnsi"/>
          <w:caps/>
          <w:lang w:val="en-GB"/>
        </w:rPr>
        <w:t xml:space="preserve"> Nordic-Baltic Hydrogen Corridor</w:t>
      </w:r>
      <w:r w:rsidR="0072411B">
        <w:rPr>
          <w:rFonts w:cstheme="minorHAnsi"/>
          <w:caps/>
          <w:lang w:val="en-GB"/>
        </w:rPr>
        <w:t xml:space="preserve"> (NBHC)</w:t>
      </w:r>
      <w:r w:rsidRPr="00CB36C0">
        <w:rPr>
          <w:rFonts w:cstheme="minorHAnsi"/>
          <w:caps/>
          <w:lang w:val="en-GB"/>
        </w:rPr>
        <w:t xml:space="preserve"> – </w:t>
      </w:r>
    </w:p>
    <w:p w14:paraId="57CFD4F3" w14:textId="5E447EC3" w:rsidR="00875EB8" w:rsidRPr="00CB36C0" w:rsidRDefault="00875EB8" w:rsidP="00875EB8">
      <w:pPr>
        <w:spacing w:after="0"/>
        <w:jc w:val="center"/>
        <w:rPr>
          <w:rFonts w:cstheme="minorHAnsi"/>
          <w:caps/>
          <w:lang w:val="en-GB"/>
        </w:rPr>
      </w:pPr>
      <w:r w:rsidRPr="00CB36C0">
        <w:rPr>
          <w:rFonts w:cstheme="minorHAnsi"/>
          <w:caps/>
          <w:lang w:val="en-GB"/>
        </w:rPr>
        <w:t>a hydrogen corridor from Finland to</w:t>
      </w:r>
    </w:p>
    <w:p w14:paraId="6888C66F" w14:textId="2E123F6B" w:rsidR="00875EB8" w:rsidRPr="00CB36C0" w:rsidRDefault="00875EB8" w:rsidP="00875EB8">
      <w:pPr>
        <w:spacing w:after="0"/>
        <w:jc w:val="center"/>
        <w:rPr>
          <w:rFonts w:cstheme="minorHAnsi"/>
          <w:caps/>
          <w:lang w:val="en-GB"/>
        </w:rPr>
      </w:pPr>
      <w:r w:rsidRPr="00CB36C0">
        <w:rPr>
          <w:rFonts w:cstheme="minorHAnsi"/>
          <w:caps/>
          <w:lang w:val="en-GB"/>
        </w:rPr>
        <w:t xml:space="preserve">Germany via Estonia, Latvia, </w:t>
      </w:r>
      <w:r w:rsidR="003E7F85" w:rsidRPr="00CB36C0">
        <w:rPr>
          <w:rFonts w:cstheme="minorHAnsi"/>
          <w:caps/>
          <w:lang w:val="en-GB"/>
        </w:rPr>
        <w:t>LITHUANIA,</w:t>
      </w:r>
      <w:r w:rsidRPr="00CB36C0">
        <w:rPr>
          <w:rFonts w:cstheme="minorHAnsi"/>
          <w:caps/>
          <w:lang w:val="en-GB"/>
        </w:rPr>
        <w:t xml:space="preserve"> and Poland.</w:t>
      </w:r>
    </w:p>
    <w:p w14:paraId="66BCCD48" w14:textId="77777777" w:rsidR="008D42FD" w:rsidRPr="00CB36C0" w:rsidRDefault="008D42FD" w:rsidP="00875EB8">
      <w:pPr>
        <w:spacing w:after="0"/>
        <w:jc w:val="center"/>
        <w:rPr>
          <w:rFonts w:cstheme="minorHAnsi"/>
          <w:caps/>
          <w:lang w:val="en-GB"/>
        </w:rPr>
      </w:pPr>
    </w:p>
    <w:p w14:paraId="30650C60" w14:textId="77777777" w:rsidR="00306913" w:rsidRPr="00CB36C0" w:rsidRDefault="00306913" w:rsidP="00875EB8">
      <w:pPr>
        <w:spacing w:after="0"/>
        <w:jc w:val="center"/>
        <w:rPr>
          <w:rFonts w:cstheme="minorHAnsi"/>
          <w:caps/>
          <w:lang w:val="en-GB"/>
        </w:rPr>
      </w:pPr>
    </w:p>
    <w:p w14:paraId="001BC000" w14:textId="77777777" w:rsidR="0072411B" w:rsidRDefault="008D42FD" w:rsidP="00875EB8">
      <w:pPr>
        <w:spacing w:after="0"/>
        <w:jc w:val="center"/>
        <w:rPr>
          <w:rFonts w:cstheme="minorHAnsi"/>
          <w:b/>
          <w:bCs/>
          <w:caps/>
          <w:lang w:val="en-GB"/>
        </w:rPr>
      </w:pPr>
      <w:r w:rsidRPr="00CB36C0">
        <w:rPr>
          <w:rFonts w:cstheme="minorHAnsi"/>
          <w:b/>
          <w:bCs/>
          <w:caps/>
          <w:lang w:val="en-GB"/>
        </w:rPr>
        <w:t xml:space="preserve">national </w:t>
      </w:r>
      <w:r w:rsidR="00C056C5" w:rsidRPr="00CB36C0">
        <w:rPr>
          <w:rFonts w:cstheme="minorHAnsi"/>
          <w:b/>
          <w:bCs/>
          <w:caps/>
          <w:lang w:val="en-GB"/>
        </w:rPr>
        <w:t>Financial and economic analysis</w:t>
      </w:r>
      <w:r w:rsidR="001951BB">
        <w:rPr>
          <w:rFonts w:cstheme="minorHAnsi"/>
          <w:b/>
          <w:bCs/>
          <w:caps/>
          <w:lang w:val="en-GB"/>
        </w:rPr>
        <w:t xml:space="preserve"> </w:t>
      </w:r>
    </w:p>
    <w:p w14:paraId="7E305EF2" w14:textId="25E4DB59" w:rsidR="00306913" w:rsidRPr="00CB36C0" w:rsidRDefault="00A65628" w:rsidP="00875EB8">
      <w:pPr>
        <w:spacing w:after="0"/>
        <w:jc w:val="center"/>
        <w:rPr>
          <w:rFonts w:cstheme="minorHAnsi"/>
          <w:b/>
          <w:bCs/>
          <w:caps/>
          <w:lang w:val="en-GB"/>
        </w:rPr>
      </w:pPr>
      <w:r>
        <w:rPr>
          <w:rFonts w:cstheme="minorHAnsi"/>
          <w:b/>
          <w:bCs/>
          <w:caps/>
          <w:lang w:val="en-GB"/>
        </w:rPr>
        <w:t>for lithuania’s section</w:t>
      </w:r>
      <w:r w:rsidR="0072411B">
        <w:rPr>
          <w:rFonts w:cstheme="minorHAnsi"/>
          <w:b/>
          <w:bCs/>
          <w:caps/>
          <w:lang w:val="en-GB"/>
        </w:rPr>
        <w:t xml:space="preserve"> OF NBHC</w:t>
      </w:r>
    </w:p>
    <w:p w14:paraId="7A6838D4" w14:textId="77777777" w:rsidR="00306913" w:rsidRPr="00CB36C0" w:rsidRDefault="00306913">
      <w:pPr>
        <w:rPr>
          <w:rFonts w:cstheme="minorHAnsi"/>
          <w:caps/>
          <w:lang w:val="en-GB"/>
        </w:rPr>
      </w:pPr>
      <w:r w:rsidRPr="00CB36C0">
        <w:rPr>
          <w:rFonts w:cstheme="minorHAnsi"/>
          <w:caps/>
          <w:lang w:val="en-GB"/>
        </w:rPr>
        <w:br w:type="page"/>
      </w:r>
    </w:p>
    <w:p w14:paraId="17D3CF56" w14:textId="333CE252" w:rsidR="00875EB8" w:rsidRPr="00CB36C0" w:rsidRDefault="3D12143B" w:rsidP="00B6514F">
      <w:pPr>
        <w:pStyle w:val="ListParagraph"/>
        <w:numPr>
          <w:ilvl w:val="0"/>
          <w:numId w:val="1"/>
        </w:numPr>
        <w:spacing w:after="0" w:line="276" w:lineRule="auto"/>
        <w:jc w:val="both"/>
        <w:rPr>
          <w:rFonts w:cstheme="minorHAnsi"/>
          <w:b/>
          <w:bCs/>
          <w:caps/>
          <w:lang w:val="en-GB"/>
        </w:rPr>
      </w:pPr>
      <w:r w:rsidRPr="00CB36C0">
        <w:rPr>
          <w:rFonts w:cstheme="minorHAnsi"/>
          <w:b/>
          <w:bCs/>
          <w:caps/>
          <w:lang w:val="en-GB"/>
        </w:rPr>
        <w:lastRenderedPageBreak/>
        <w:t>Context</w:t>
      </w:r>
    </w:p>
    <w:p w14:paraId="3876C657" w14:textId="55612FBA" w:rsidR="00535E25" w:rsidRPr="00CB36C0" w:rsidRDefault="00535E25" w:rsidP="006C0FCD">
      <w:pPr>
        <w:pStyle w:val="ListParagraph"/>
        <w:spacing w:after="0" w:line="276" w:lineRule="auto"/>
        <w:jc w:val="both"/>
        <w:rPr>
          <w:rFonts w:cstheme="minorHAnsi"/>
          <w:lang w:val="en-GB"/>
        </w:rPr>
      </w:pPr>
    </w:p>
    <w:p w14:paraId="4B4F4F9A" w14:textId="77777777" w:rsidR="0072000E" w:rsidRPr="00CB36C0" w:rsidRDefault="0072000E" w:rsidP="006C0FCD">
      <w:pPr>
        <w:pStyle w:val="ListParagraph"/>
        <w:spacing w:after="0" w:line="276" w:lineRule="auto"/>
        <w:jc w:val="both"/>
        <w:rPr>
          <w:rFonts w:cstheme="minorHAnsi"/>
          <w:lang w:val="en-US"/>
        </w:rPr>
      </w:pPr>
      <w:r w:rsidRPr="00CB36C0">
        <w:rPr>
          <w:rFonts w:cstheme="minorHAnsi"/>
          <w:lang w:val="en-GB"/>
        </w:rPr>
        <w:t>The Nordic-Baltic Hydrogen Corridor (NBHC) Project is a significant contributor to the EU’s strategic goals. As a Project of Common Interest (PCI) within the EU's BEMIP Hydrogen TEN-E priority corridor, NBHC is central to achieving the EU’s energy policy objectives. It supports Europe’s broader strategic goals by fostering sustainable innovation and economic growth, strengthening Europe’s global competitiveness, enhancing energy security, and building resilience.</w:t>
      </w:r>
    </w:p>
    <w:p w14:paraId="3CAD941F" w14:textId="77777777" w:rsidR="0072000E" w:rsidRPr="00CB36C0" w:rsidRDefault="0072000E" w:rsidP="006C0FCD">
      <w:pPr>
        <w:pStyle w:val="ListParagraph"/>
        <w:spacing w:after="0" w:line="276" w:lineRule="auto"/>
        <w:jc w:val="both"/>
        <w:rPr>
          <w:rFonts w:cstheme="minorHAnsi"/>
          <w:lang w:val="en-GB"/>
        </w:rPr>
      </w:pPr>
    </w:p>
    <w:p w14:paraId="6A18468C" w14:textId="77777777" w:rsidR="0072000E" w:rsidRPr="00CB36C0" w:rsidRDefault="0072000E" w:rsidP="006C0FCD">
      <w:pPr>
        <w:pStyle w:val="ListParagraph"/>
        <w:spacing w:after="0" w:line="276" w:lineRule="auto"/>
        <w:jc w:val="both"/>
        <w:rPr>
          <w:rFonts w:cstheme="minorHAnsi"/>
          <w:lang w:val="en-GB"/>
        </w:rPr>
      </w:pPr>
      <w:r w:rsidRPr="00CB36C0">
        <w:rPr>
          <w:rFonts w:cstheme="minorHAnsi"/>
          <w:lang w:val="en-GB"/>
        </w:rPr>
        <w:t>The NBHC Project is crucial to Europe’s future hydrogen infrastructure, creating a reliable, affordable, secure, and sustainable hydrogen supply chain by producing energy where it is most cost-effective. According to the project’s pre-feasibility study, the NBHC pipeline could reach an annual throughput of 2.7 Mt (91 TWh) by 2040, greatly aiding Europe and its regions in decarbonizing hard-to-abate sectors and fostering sustainable growth. Additionally, the Project advances hydrogen network integration across the region, supporting the EU’s industrial foundation and promoting well-being and economic growth.</w:t>
      </w:r>
    </w:p>
    <w:p w14:paraId="4057482B" w14:textId="77777777" w:rsidR="0072000E" w:rsidRPr="00CB36C0" w:rsidRDefault="0072000E" w:rsidP="006C0FCD">
      <w:pPr>
        <w:pStyle w:val="ListParagraph"/>
        <w:spacing w:after="0" w:line="276" w:lineRule="auto"/>
        <w:jc w:val="both"/>
        <w:rPr>
          <w:rFonts w:cstheme="minorHAnsi"/>
          <w:lang w:val="en-GB"/>
        </w:rPr>
      </w:pPr>
    </w:p>
    <w:p w14:paraId="6F787541" w14:textId="77777777" w:rsidR="0072000E" w:rsidRPr="00CB36C0" w:rsidRDefault="0072000E" w:rsidP="006C0FCD">
      <w:pPr>
        <w:pStyle w:val="ListParagraph"/>
        <w:spacing w:after="0" w:line="276" w:lineRule="auto"/>
        <w:jc w:val="both"/>
        <w:rPr>
          <w:rFonts w:cstheme="minorHAnsi"/>
          <w:lang w:val="en-GB"/>
        </w:rPr>
      </w:pPr>
      <w:r w:rsidRPr="00CB36C0">
        <w:rPr>
          <w:rFonts w:cstheme="minorHAnsi"/>
          <w:lang w:val="en-GB"/>
        </w:rPr>
        <w:t>By decreasing reliance on imported fossil fuels, diversifying energy sources, and enabling affordable domestic energy production within the EU, the NBHC Project bolsters Europe’s energy resilience. This project is particularly significant for the countries along its route, which collectively share about 2,350 km of border with Russia. The NBHC thus plays a vital role in securing regional energy independence and reinforcing the resilience of Europe’s energy system.</w:t>
      </w:r>
    </w:p>
    <w:p w14:paraId="30DA2A5F" w14:textId="02A4BFBC" w:rsidR="00DA44D3" w:rsidRPr="00CB36C0" w:rsidRDefault="00D12343" w:rsidP="006C0FCD">
      <w:pPr>
        <w:pStyle w:val="ListParagraph"/>
        <w:keepNext/>
        <w:spacing w:after="0" w:line="276" w:lineRule="auto"/>
        <w:jc w:val="center"/>
        <w:rPr>
          <w:rFonts w:cstheme="minorHAnsi"/>
        </w:rPr>
      </w:pPr>
      <w:r w:rsidRPr="00A67F2C">
        <w:rPr>
          <w:rFonts w:asciiTheme="majorHAnsi" w:hAnsiTheme="majorHAnsi" w:cstheme="majorHAnsi"/>
          <w:noProof/>
          <w:sz w:val="20"/>
          <w:szCs w:val="20"/>
          <w:lang w:val="en-GB"/>
        </w:rPr>
        <w:drawing>
          <wp:inline distT="0" distB="0" distL="0" distR="0" wp14:anchorId="1AFB54F6" wp14:editId="6A2944C4">
            <wp:extent cx="2628000" cy="4185803"/>
            <wp:effectExtent l="0" t="0" r="1270" b="5715"/>
            <wp:docPr id="650203114" name="Paveikslėlis 1" descr="A map of europe with different colored area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203114" name="Paveikslėlis 1" descr="A map of europe with different colored areas&#10;&#10;AI-generated content may be incorrect."/>
                    <pic:cNvPicPr/>
                  </pic:nvPicPr>
                  <pic:blipFill>
                    <a:blip r:embed="rId12"/>
                    <a:stretch>
                      <a:fillRect/>
                    </a:stretch>
                  </pic:blipFill>
                  <pic:spPr>
                    <a:xfrm>
                      <a:off x="0" y="0"/>
                      <a:ext cx="2628000" cy="4185803"/>
                    </a:xfrm>
                    <a:prstGeom prst="rect">
                      <a:avLst/>
                    </a:prstGeom>
                  </pic:spPr>
                </pic:pic>
              </a:graphicData>
            </a:graphic>
          </wp:inline>
        </w:drawing>
      </w:r>
    </w:p>
    <w:p w14:paraId="7B37446F" w14:textId="4B379DDF" w:rsidR="0072000E" w:rsidRPr="00CB36C0" w:rsidRDefault="00DA44D3" w:rsidP="006C0FCD">
      <w:pPr>
        <w:pStyle w:val="Caption"/>
        <w:spacing w:line="276" w:lineRule="auto"/>
        <w:jc w:val="center"/>
        <w:rPr>
          <w:rFonts w:cstheme="minorHAnsi"/>
          <w:sz w:val="22"/>
          <w:szCs w:val="22"/>
          <w:lang w:val="en-GB"/>
        </w:rPr>
      </w:pPr>
      <w:r w:rsidRPr="00CB36C0">
        <w:rPr>
          <w:rFonts w:cstheme="minorHAnsi"/>
          <w:sz w:val="22"/>
          <w:szCs w:val="22"/>
          <w:lang w:val="en-GB"/>
        </w:rPr>
        <w:t xml:space="preserve">Figure </w:t>
      </w:r>
      <w:r w:rsidRPr="00CB36C0">
        <w:rPr>
          <w:rFonts w:cstheme="minorHAnsi"/>
          <w:sz w:val="22"/>
          <w:szCs w:val="22"/>
          <w:lang w:val="en-GB"/>
        </w:rPr>
        <w:fldChar w:fldCharType="begin"/>
      </w:r>
      <w:r w:rsidRPr="00CB36C0">
        <w:rPr>
          <w:rFonts w:cstheme="minorHAnsi"/>
          <w:sz w:val="22"/>
          <w:szCs w:val="22"/>
          <w:lang w:val="en-GB"/>
        </w:rPr>
        <w:instrText xml:space="preserve"> SEQ Figure \* ARABIC </w:instrText>
      </w:r>
      <w:r w:rsidRPr="00CB36C0">
        <w:rPr>
          <w:rFonts w:cstheme="minorHAnsi"/>
          <w:sz w:val="22"/>
          <w:szCs w:val="22"/>
          <w:lang w:val="en-GB"/>
        </w:rPr>
        <w:fldChar w:fldCharType="separate"/>
      </w:r>
      <w:r w:rsidR="002E7150" w:rsidRPr="00CB36C0">
        <w:rPr>
          <w:rFonts w:cstheme="minorHAnsi"/>
          <w:noProof/>
          <w:sz w:val="22"/>
          <w:szCs w:val="22"/>
          <w:lang w:val="en-GB"/>
        </w:rPr>
        <w:t>1</w:t>
      </w:r>
      <w:r w:rsidRPr="00CB36C0">
        <w:rPr>
          <w:rFonts w:cstheme="minorHAnsi"/>
          <w:sz w:val="22"/>
          <w:szCs w:val="22"/>
          <w:lang w:val="en-GB"/>
        </w:rPr>
        <w:fldChar w:fldCharType="end"/>
      </w:r>
      <w:r w:rsidR="004D2796" w:rsidRPr="00CB36C0">
        <w:rPr>
          <w:rFonts w:cstheme="minorHAnsi"/>
          <w:sz w:val="22"/>
          <w:szCs w:val="22"/>
          <w:lang w:val="en-GB"/>
        </w:rPr>
        <w:t xml:space="preserve"> Projected Hydrogen Pipeline Map</w:t>
      </w:r>
    </w:p>
    <w:p w14:paraId="1C3B0815" w14:textId="77777777" w:rsidR="00E03774" w:rsidRPr="00CB36C0" w:rsidRDefault="00E03774" w:rsidP="006C0FCD">
      <w:pPr>
        <w:pStyle w:val="ListParagraph"/>
        <w:spacing w:after="0" w:line="276" w:lineRule="auto"/>
        <w:jc w:val="center"/>
        <w:rPr>
          <w:rFonts w:cstheme="minorHAnsi"/>
          <w:lang w:val="en-GB"/>
        </w:rPr>
      </w:pPr>
    </w:p>
    <w:p w14:paraId="4BBA4DF0" w14:textId="5F786386" w:rsidR="008779E4" w:rsidRPr="008779E4" w:rsidRDefault="00F252CD" w:rsidP="008779E4">
      <w:pPr>
        <w:pStyle w:val="ListParagraph"/>
        <w:spacing w:after="0" w:line="276" w:lineRule="auto"/>
        <w:jc w:val="both"/>
        <w:rPr>
          <w:rFonts w:cstheme="minorHAnsi"/>
          <w:lang w:val="en-GB"/>
        </w:rPr>
      </w:pPr>
      <w:r>
        <w:rPr>
          <w:rFonts w:cstheme="minorHAnsi"/>
          <w:lang w:val="en-GB"/>
        </w:rPr>
        <w:t>In 2024 t</w:t>
      </w:r>
      <w:r w:rsidR="008779E4" w:rsidRPr="008779E4">
        <w:rPr>
          <w:rFonts w:cstheme="minorHAnsi"/>
          <w:lang w:val="en-GB"/>
        </w:rPr>
        <w:t>he pre-feasibility study was conducted to establish initial project estimations for the</w:t>
      </w:r>
      <w:r w:rsidR="00E931BC">
        <w:rPr>
          <w:rFonts w:cstheme="minorHAnsi"/>
          <w:lang w:val="en-GB"/>
        </w:rPr>
        <w:t xml:space="preserve"> </w:t>
      </w:r>
      <w:r w:rsidR="008779E4" w:rsidRPr="008779E4">
        <w:rPr>
          <w:rFonts w:cstheme="minorHAnsi"/>
          <w:lang w:val="en-GB"/>
        </w:rPr>
        <w:t xml:space="preserve">NBHC. </w:t>
      </w:r>
      <w:r w:rsidR="00E931BC">
        <w:rPr>
          <w:rFonts w:cstheme="minorHAnsi"/>
          <w:lang w:val="en-GB"/>
        </w:rPr>
        <w:t>It</w:t>
      </w:r>
      <w:r w:rsidR="008779E4" w:rsidRPr="008779E4">
        <w:rPr>
          <w:rFonts w:cstheme="minorHAnsi"/>
          <w:lang w:val="en-GB"/>
        </w:rPr>
        <w:t xml:space="preserve"> provided a preliminary understanding of the infrastructure requirements, such as pipeline length, diameter, pressure levels, and compressor stations needed to achieve projected hydrogen throughput. </w:t>
      </w:r>
    </w:p>
    <w:p w14:paraId="2FC3CB23" w14:textId="77777777" w:rsidR="008779E4" w:rsidRPr="008779E4" w:rsidRDefault="008779E4" w:rsidP="008779E4">
      <w:pPr>
        <w:pStyle w:val="ListParagraph"/>
        <w:spacing w:after="0" w:line="276" w:lineRule="auto"/>
        <w:jc w:val="both"/>
        <w:rPr>
          <w:rFonts w:cstheme="minorHAnsi"/>
          <w:lang w:val="en-GB"/>
        </w:rPr>
      </w:pPr>
    </w:p>
    <w:p w14:paraId="0554C38D" w14:textId="207A38A3" w:rsidR="008779E4" w:rsidRPr="008779E4" w:rsidRDefault="008779E4" w:rsidP="008779E4">
      <w:pPr>
        <w:pStyle w:val="ListParagraph"/>
        <w:spacing w:after="0" w:line="276" w:lineRule="auto"/>
        <w:jc w:val="both"/>
        <w:rPr>
          <w:rFonts w:cstheme="minorHAnsi"/>
          <w:lang w:val="en-GB"/>
        </w:rPr>
      </w:pPr>
      <w:r w:rsidRPr="008779E4">
        <w:rPr>
          <w:rFonts w:cstheme="minorHAnsi"/>
          <w:lang w:val="en-GB"/>
        </w:rPr>
        <w:t>The pre-feasibility phase has outlined the initial design of the NBHC:</w:t>
      </w:r>
    </w:p>
    <w:p w14:paraId="1FDEB6CA" w14:textId="45A904E8" w:rsidR="008779E4" w:rsidRPr="008779E4" w:rsidRDefault="008779E4" w:rsidP="008779E4">
      <w:pPr>
        <w:pStyle w:val="ListParagraph"/>
        <w:numPr>
          <w:ilvl w:val="0"/>
          <w:numId w:val="18"/>
        </w:numPr>
        <w:spacing w:after="0" w:line="276" w:lineRule="auto"/>
        <w:jc w:val="both"/>
        <w:rPr>
          <w:rFonts w:cstheme="minorHAnsi"/>
          <w:lang w:val="en-GB"/>
        </w:rPr>
      </w:pPr>
      <w:r w:rsidRPr="008779E4">
        <w:rPr>
          <w:rFonts w:cstheme="minorHAnsi"/>
          <w:lang w:val="en-GB"/>
        </w:rPr>
        <w:t>The main pipeline is approximately 2,500 km long, spanning six countries (</w:t>
      </w:r>
      <w:r w:rsidR="00A74B3C" w:rsidRPr="002576B3">
        <w:rPr>
          <w:rFonts w:cstheme="minorHAnsi"/>
        </w:rPr>
        <w:t>~</w:t>
      </w:r>
      <w:r w:rsidRPr="008779E4">
        <w:rPr>
          <w:rFonts w:cstheme="minorHAnsi"/>
          <w:lang w:val="en-GB"/>
        </w:rPr>
        <w:t>555 km through Finland, ~96 km subsea, ~319 km through Estonia, ~274 km through Latvia, ~346 km through Lithuania</w:t>
      </w:r>
      <w:r w:rsidR="007B21F5">
        <w:rPr>
          <w:rFonts w:cstheme="minorHAnsi"/>
          <w:lang w:val="en-GB"/>
        </w:rPr>
        <w:t xml:space="preserve"> (the main pipeline)</w:t>
      </w:r>
      <w:r w:rsidR="00B53FDF">
        <w:rPr>
          <w:rFonts w:cstheme="minorHAnsi"/>
          <w:lang w:val="en-GB"/>
        </w:rPr>
        <w:t xml:space="preserve"> </w:t>
      </w:r>
      <w:r w:rsidR="00BC22D4">
        <w:rPr>
          <w:rFonts w:cstheme="minorHAnsi"/>
          <w:lang w:val="en-GB"/>
        </w:rPr>
        <w:t xml:space="preserve">and </w:t>
      </w:r>
      <w:r w:rsidR="00F22137" w:rsidRPr="008779E4">
        <w:rPr>
          <w:rFonts w:cstheme="minorHAnsi"/>
          <w:lang w:val="en-GB"/>
        </w:rPr>
        <w:t>~</w:t>
      </w:r>
      <w:r w:rsidR="00F22137">
        <w:rPr>
          <w:rFonts w:cstheme="minorHAnsi"/>
          <w:lang w:val="en-GB"/>
        </w:rPr>
        <w:t xml:space="preserve">211 km branch </w:t>
      </w:r>
      <w:r w:rsidR="00512F05">
        <w:rPr>
          <w:rFonts w:cstheme="minorHAnsi"/>
          <w:lang w:val="en-GB"/>
        </w:rPr>
        <w:t xml:space="preserve">from the west part of Lithuania </w:t>
      </w:r>
      <w:r w:rsidR="00F22137">
        <w:rPr>
          <w:rFonts w:cstheme="minorHAnsi"/>
          <w:lang w:val="en-GB"/>
        </w:rPr>
        <w:t>towards the main pipeline</w:t>
      </w:r>
      <w:r w:rsidRPr="008779E4">
        <w:rPr>
          <w:rFonts w:cstheme="minorHAnsi"/>
          <w:lang w:val="en-GB"/>
        </w:rPr>
        <w:t>, ~822 km through Poland, and ~80 km in Germany). It connects key production and demand sites identified by Transmission System Operators (TSOs)</w:t>
      </w:r>
      <w:r w:rsidR="00C67B90">
        <w:rPr>
          <w:rFonts w:cstheme="minorHAnsi"/>
          <w:lang w:val="en-GB"/>
        </w:rPr>
        <w:t>,</w:t>
      </w:r>
    </w:p>
    <w:p w14:paraId="3E17308F" w14:textId="5A98799C" w:rsidR="008779E4" w:rsidRPr="008779E4" w:rsidRDefault="008779E4" w:rsidP="008779E4">
      <w:pPr>
        <w:pStyle w:val="ListParagraph"/>
        <w:numPr>
          <w:ilvl w:val="0"/>
          <w:numId w:val="18"/>
        </w:numPr>
        <w:spacing w:after="0" w:line="276" w:lineRule="auto"/>
        <w:jc w:val="both"/>
        <w:rPr>
          <w:rFonts w:cstheme="minorHAnsi"/>
          <w:lang w:val="en-GB"/>
        </w:rPr>
      </w:pPr>
      <w:r w:rsidRPr="008779E4">
        <w:rPr>
          <w:rFonts w:cstheme="minorHAnsi"/>
          <w:lang w:val="en-GB"/>
        </w:rPr>
        <w:t xml:space="preserve">The main </w:t>
      </w:r>
      <w:r w:rsidR="00C67B90">
        <w:rPr>
          <w:rFonts w:cstheme="minorHAnsi"/>
          <w:lang w:val="en-GB"/>
        </w:rPr>
        <w:t>pipeline</w:t>
      </w:r>
      <w:r w:rsidRPr="008779E4">
        <w:rPr>
          <w:rFonts w:cstheme="minorHAnsi"/>
          <w:lang w:val="en-GB"/>
        </w:rPr>
        <w:t xml:space="preserve"> is designed with a ≈48inch (1200 mm) diameter pipe, </w:t>
      </w:r>
    </w:p>
    <w:p w14:paraId="02DAC2B9" w14:textId="77777777" w:rsidR="008779E4" w:rsidRDefault="008779E4" w:rsidP="006C0FCD">
      <w:pPr>
        <w:pStyle w:val="ListParagraph"/>
        <w:spacing w:after="0" w:line="276" w:lineRule="auto"/>
        <w:jc w:val="both"/>
        <w:rPr>
          <w:rFonts w:cstheme="minorHAnsi"/>
          <w:lang w:val="en-GB"/>
        </w:rPr>
      </w:pPr>
    </w:p>
    <w:p w14:paraId="1249400D" w14:textId="3C0C8A50" w:rsidR="0072000E" w:rsidRDefault="0072000E" w:rsidP="006C0FCD">
      <w:pPr>
        <w:pStyle w:val="ListParagraph"/>
        <w:spacing w:after="0" w:line="276" w:lineRule="auto"/>
        <w:jc w:val="both"/>
        <w:rPr>
          <w:rFonts w:cstheme="minorHAnsi"/>
          <w:lang w:val="en-GB"/>
        </w:rPr>
      </w:pPr>
      <w:r w:rsidRPr="00CB36C0">
        <w:rPr>
          <w:rFonts w:cstheme="minorHAnsi"/>
          <w:lang w:val="en-GB"/>
        </w:rPr>
        <w:t>The NBHC corridor enhances EU energy security by reducing supply disruption risks. By connecting multiple suppliers, markets, and energy transmission options, the Project lowers the economic and geopolitical risks tied to fossil fuel imports, supporting substantial expansion of renewable energy and hydrogen production within the EU.</w:t>
      </w:r>
    </w:p>
    <w:p w14:paraId="3046CEB5" w14:textId="77777777" w:rsidR="00593DD1" w:rsidRDefault="00593DD1" w:rsidP="006C0FCD">
      <w:pPr>
        <w:pStyle w:val="ListParagraph"/>
        <w:spacing w:after="0" w:line="276" w:lineRule="auto"/>
        <w:jc w:val="both"/>
        <w:rPr>
          <w:rFonts w:cstheme="minorHAnsi"/>
          <w:lang w:val="en-GB"/>
        </w:rPr>
      </w:pPr>
    </w:p>
    <w:p w14:paraId="22606D02" w14:textId="29D36359" w:rsidR="00593DD1" w:rsidRPr="00593DD1" w:rsidRDefault="00593DD1" w:rsidP="00593DD1">
      <w:pPr>
        <w:tabs>
          <w:tab w:val="num" w:pos="720"/>
        </w:tabs>
        <w:spacing w:after="120"/>
        <w:ind w:left="720"/>
        <w:jc w:val="both"/>
        <w:rPr>
          <w:rFonts w:ascii="Calibri" w:hAnsi="Calibri" w:cs="Calibri"/>
          <w:lang w:val="en-GB"/>
        </w:rPr>
      </w:pPr>
      <w:r w:rsidRPr="00593DD1">
        <w:rPr>
          <w:rFonts w:ascii="Calibri" w:hAnsi="Calibri"/>
          <w:lang w:val="en-GB"/>
        </w:rPr>
        <w:t>The Nordic-Baltic Hydrogen Corridor has been granted the status of a Project of Common Interest (PCI) in the European Union (Commission Delegated Regulation (EU) 2024/1041 of 28 November 2023 published in the Official Journal of the European Union on 4 April 2024).</w:t>
      </w:r>
    </w:p>
    <w:p w14:paraId="54E9E08A" w14:textId="77777777" w:rsidR="00593DD1" w:rsidRPr="00593DD1" w:rsidRDefault="00593DD1" w:rsidP="006C0FCD">
      <w:pPr>
        <w:pStyle w:val="ListParagraph"/>
        <w:spacing w:after="0" w:line="276" w:lineRule="auto"/>
        <w:jc w:val="both"/>
        <w:rPr>
          <w:rFonts w:cstheme="minorHAnsi"/>
        </w:rPr>
      </w:pPr>
    </w:p>
    <w:p w14:paraId="1F2AF197" w14:textId="77777777" w:rsidR="0072000E" w:rsidRPr="00CB36C0" w:rsidRDefault="0072000E" w:rsidP="006C0FCD">
      <w:pPr>
        <w:pStyle w:val="ListParagraph"/>
        <w:spacing w:after="0" w:line="276" w:lineRule="auto"/>
        <w:jc w:val="both"/>
        <w:rPr>
          <w:rFonts w:cstheme="minorHAnsi"/>
          <w:lang w:val="en-GB"/>
        </w:rPr>
      </w:pPr>
    </w:p>
    <w:p w14:paraId="1DE04B00" w14:textId="1ADADB76" w:rsidR="001F09EA" w:rsidRPr="00CB36C0" w:rsidRDefault="24B647B9" w:rsidP="006C0FCD">
      <w:pPr>
        <w:pStyle w:val="ListParagraph"/>
        <w:numPr>
          <w:ilvl w:val="0"/>
          <w:numId w:val="1"/>
        </w:numPr>
        <w:spacing w:after="0" w:line="276" w:lineRule="auto"/>
        <w:jc w:val="both"/>
        <w:rPr>
          <w:rFonts w:cstheme="minorHAnsi"/>
          <w:b/>
          <w:bCs/>
          <w:caps/>
          <w:lang w:val="en-GB"/>
        </w:rPr>
      </w:pPr>
      <w:r w:rsidRPr="00CB36C0">
        <w:rPr>
          <w:rFonts w:cstheme="minorHAnsi"/>
          <w:b/>
          <w:bCs/>
          <w:caps/>
          <w:lang w:val="en-GB"/>
        </w:rPr>
        <w:t>Objectives</w:t>
      </w:r>
    </w:p>
    <w:p w14:paraId="1D1BCFB7" w14:textId="2D9D2C7B" w:rsidR="00331B2E" w:rsidRPr="00CB36C0" w:rsidRDefault="00331B2E" w:rsidP="006C0FCD">
      <w:pPr>
        <w:spacing w:after="0" w:line="276" w:lineRule="auto"/>
        <w:jc w:val="both"/>
        <w:rPr>
          <w:rFonts w:cstheme="minorHAnsi"/>
          <w:lang w:val="en-GB"/>
        </w:rPr>
      </w:pPr>
    </w:p>
    <w:p w14:paraId="03C913AC" w14:textId="1101B693" w:rsidR="00CB36C0" w:rsidRPr="00836037" w:rsidRDefault="00333865" w:rsidP="00955289">
      <w:pPr>
        <w:pStyle w:val="ListParagraph"/>
        <w:spacing w:after="0" w:line="276" w:lineRule="auto"/>
        <w:jc w:val="both"/>
      </w:pPr>
      <w:r w:rsidRPr="6E5C04CC">
        <w:rPr>
          <w:lang w:val="en-GB"/>
        </w:rPr>
        <w:t xml:space="preserve">The </w:t>
      </w:r>
      <w:r w:rsidR="004B60C1" w:rsidRPr="6E5C04CC">
        <w:rPr>
          <w:lang w:val="en-GB"/>
        </w:rPr>
        <w:t xml:space="preserve">main objective is </w:t>
      </w:r>
      <w:r w:rsidR="003A2662" w:rsidRPr="6E5C04CC">
        <w:rPr>
          <w:lang w:val="en-GB"/>
        </w:rPr>
        <w:t xml:space="preserve">to </w:t>
      </w:r>
      <w:r w:rsidR="004B60C1" w:rsidRPr="6E5C04CC">
        <w:rPr>
          <w:lang w:val="en-GB"/>
        </w:rPr>
        <w:t xml:space="preserve">carry out </w:t>
      </w:r>
      <w:r w:rsidR="00822138" w:rsidRPr="6E5C04CC">
        <w:rPr>
          <w:lang w:val="en-GB"/>
        </w:rPr>
        <w:t xml:space="preserve">a </w:t>
      </w:r>
      <w:r w:rsidR="00CB36C0" w:rsidRPr="6E5C04CC">
        <w:rPr>
          <w:lang w:val="en-GB"/>
        </w:rPr>
        <w:t xml:space="preserve">detailed </w:t>
      </w:r>
      <w:r w:rsidR="00171820">
        <w:rPr>
          <w:lang w:val="en-GB"/>
        </w:rPr>
        <w:t>Economic and financial a</w:t>
      </w:r>
      <w:r w:rsidR="00CB36C0" w:rsidRPr="6E5C04CC">
        <w:rPr>
          <w:lang w:val="en-GB"/>
        </w:rPr>
        <w:t xml:space="preserve">nalysis </w:t>
      </w:r>
      <w:r w:rsidR="005B00BC" w:rsidRPr="6E5C04CC">
        <w:rPr>
          <w:lang w:val="en-GB"/>
        </w:rPr>
        <w:t xml:space="preserve">for </w:t>
      </w:r>
      <w:r w:rsidR="00E61A54" w:rsidRPr="6E5C04CC">
        <w:rPr>
          <w:lang w:val="en-GB"/>
        </w:rPr>
        <w:t>NBHC Lithuania’s section</w:t>
      </w:r>
      <w:r w:rsidR="00171820">
        <w:rPr>
          <w:lang w:val="en-GB"/>
        </w:rPr>
        <w:t xml:space="preserve"> (</w:t>
      </w:r>
      <w:r w:rsidR="00593E31">
        <w:rPr>
          <w:lang w:val="en-GB"/>
        </w:rPr>
        <w:t xml:space="preserve">further – the </w:t>
      </w:r>
      <w:r w:rsidR="00171820">
        <w:rPr>
          <w:lang w:val="en-GB"/>
        </w:rPr>
        <w:t>Analysis)</w:t>
      </w:r>
      <w:r w:rsidR="00E61A54" w:rsidRPr="6E5C04CC">
        <w:rPr>
          <w:lang w:val="en-GB"/>
        </w:rPr>
        <w:t xml:space="preserve"> </w:t>
      </w:r>
      <w:r w:rsidR="00CB36C0" w:rsidRPr="6E5C04CC">
        <w:rPr>
          <w:lang w:val="en-GB"/>
        </w:rPr>
        <w:t xml:space="preserve">required for </w:t>
      </w:r>
      <w:r w:rsidR="71EE2F3F" w:rsidRPr="6E5C04CC">
        <w:rPr>
          <w:lang w:val="en-GB"/>
        </w:rPr>
        <w:t>making</w:t>
      </w:r>
      <w:r w:rsidR="00CB36C0" w:rsidRPr="402B1035">
        <w:rPr>
          <w:lang w:val="en-GB"/>
        </w:rPr>
        <w:t xml:space="preserve"> </w:t>
      </w:r>
      <w:r w:rsidR="00CB36C0" w:rsidRPr="6E5C04CC">
        <w:rPr>
          <w:lang w:val="en-GB"/>
        </w:rPr>
        <w:t xml:space="preserve">decisions on further </w:t>
      </w:r>
      <w:r w:rsidR="00F30F79" w:rsidRPr="6E5C04CC">
        <w:rPr>
          <w:lang w:val="en-GB"/>
        </w:rPr>
        <w:t>P</w:t>
      </w:r>
      <w:r w:rsidR="00CB36C0" w:rsidRPr="6E5C04CC">
        <w:rPr>
          <w:lang w:val="en-GB"/>
        </w:rPr>
        <w:t>roject implementation</w:t>
      </w:r>
      <w:r w:rsidR="000F40BC" w:rsidRPr="6E5C04CC">
        <w:rPr>
          <w:lang w:val="en-GB"/>
        </w:rPr>
        <w:t xml:space="preserve">. </w:t>
      </w:r>
      <w:r w:rsidR="007728DC" w:rsidRPr="6E5C04CC">
        <w:rPr>
          <w:lang w:val="en-GB"/>
        </w:rPr>
        <w:t>The Analysis will provide national costs estimates</w:t>
      </w:r>
      <w:r w:rsidR="004301DC" w:rsidRPr="6E5C04CC">
        <w:rPr>
          <w:lang w:val="en-GB"/>
        </w:rPr>
        <w:t xml:space="preserve">, </w:t>
      </w:r>
      <w:r w:rsidR="00CB36C0" w:rsidRPr="6E5C04CC">
        <w:rPr>
          <w:lang w:val="en-GB"/>
        </w:rPr>
        <w:t>revenue projections, financial modelling, financing strategy, socio-economic impact, cost benefit analysis</w:t>
      </w:r>
      <w:r w:rsidR="004301DC" w:rsidRPr="6E5C04CC">
        <w:rPr>
          <w:lang w:val="en-GB"/>
        </w:rPr>
        <w:t xml:space="preserve"> (CBA)</w:t>
      </w:r>
      <w:r w:rsidR="00CB36C0" w:rsidRPr="6E5C04CC">
        <w:rPr>
          <w:lang w:val="en-GB"/>
        </w:rPr>
        <w:t xml:space="preserve">, project plan and schedule </w:t>
      </w:r>
      <w:r w:rsidR="00822138" w:rsidRPr="6E5C04CC">
        <w:rPr>
          <w:lang w:val="en-GB"/>
        </w:rPr>
        <w:t>for Lithuania’s section for NBHC</w:t>
      </w:r>
      <w:r w:rsidR="00527E46">
        <w:rPr>
          <w:lang w:val="en-GB"/>
        </w:rPr>
        <w:t>.</w:t>
      </w:r>
    </w:p>
    <w:p w14:paraId="6D61FF28" w14:textId="77777777" w:rsidR="00756912" w:rsidRDefault="00756912" w:rsidP="00815BF6">
      <w:pPr>
        <w:pStyle w:val="ListParagraph"/>
        <w:spacing w:after="0" w:line="276" w:lineRule="auto"/>
        <w:jc w:val="both"/>
        <w:rPr>
          <w:rFonts w:cstheme="minorHAnsi"/>
          <w:lang w:val="en-GB"/>
        </w:rPr>
      </w:pPr>
    </w:p>
    <w:p w14:paraId="234EEBF7" w14:textId="06E82695" w:rsidR="003203CA" w:rsidRDefault="00F854A6" w:rsidP="00775CDC">
      <w:pPr>
        <w:pStyle w:val="ListParagraph"/>
        <w:spacing w:after="0" w:line="276" w:lineRule="auto"/>
        <w:jc w:val="both"/>
        <w:rPr>
          <w:lang w:val="en-GB"/>
        </w:rPr>
      </w:pPr>
      <w:r w:rsidRPr="6E5C04CC">
        <w:rPr>
          <w:lang w:val="en-GB"/>
        </w:rPr>
        <w:t xml:space="preserve">The results of the Analysis will serve as </w:t>
      </w:r>
      <w:r w:rsidR="00F9040D">
        <w:rPr>
          <w:lang w:val="en-GB"/>
        </w:rPr>
        <w:t xml:space="preserve">the </w:t>
      </w:r>
      <w:r w:rsidRPr="002806FA">
        <w:rPr>
          <w:lang w:val="en-GB"/>
        </w:rPr>
        <w:t xml:space="preserve">national input </w:t>
      </w:r>
      <w:r>
        <w:rPr>
          <w:lang w:val="en-GB"/>
        </w:rPr>
        <w:t xml:space="preserve">for the </w:t>
      </w:r>
      <w:r w:rsidR="00743C7A">
        <w:rPr>
          <w:lang w:val="en-GB"/>
        </w:rPr>
        <w:t xml:space="preserve">Joint </w:t>
      </w:r>
      <w:r>
        <w:rPr>
          <w:lang w:val="en-GB"/>
        </w:rPr>
        <w:t>cross-border commercial study of NBHC</w:t>
      </w:r>
      <w:r w:rsidR="00775CDC">
        <w:rPr>
          <w:lang w:val="en-GB"/>
        </w:rPr>
        <w:t>.</w:t>
      </w:r>
      <w:r>
        <w:rPr>
          <w:lang w:val="en-GB"/>
        </w:rPr>
        <w:t xml:space="preserve"> </w:t>
      </w:r>
      <w:r w:rsidR="00333865" w:rsidRPr="6E5C04CC">
        <w:rPr>
          <w:lang w:val="en-GB"/>
        </w:rPr>
        <w:t xml:space="preserve">NBHC spans </w:t>
      </w:r>
      <w:r w:rsidR="008D15AC">
        <w:rPr>
          <w:lang w:val="en-GB"/>
        </w:rPr>
        <w:t xml:space="preserve">through </w:t>
      </w:r>
      <w:r w:rsidR="00333865" w:rsidRPr="6E5C04CC">
        <w:rPr>
          <w:lang w:val="en-GB"/>
        </w:rPr>
        <w:t>six countries with diverse policies, hydrogen strategies, and market outlooks</w:t>
      </w:r>
      <w:r w:rsidR="003203CA" w:rsidRPr="6E5C04CC">
        <w:rPr>
          <w:lang w:val="en-GB"/>
        </w:rPr>
        <w:t>.</w:t>
      </w:r>
      <w:r w:rsidR="00390C7C" w:rsidRPr="6E5C04CC">
        <w:rPr>
          <w:lang w:val="en-GB"/>
        </w:rPr>
        <w:t xml:space="preserve"> The template </w:t>
      </w:r>
      <w:r w:rsidR="00380245" w:rsidRPr="6E5C04CC">
        <w:rPr>
          <w:lang w:val="en-GB"/>
        </w:rPr>
        <w:t xml:space="preserve">provided by Amber Grid </w:t>
      </w:r>
      <w:r w:rsidR="00775CDC">
        <w:rPr>
          <w:lang w:val="en-GB"/>
        </w:rPr>
        <w:t xml:space="preserve">to the Service provider </w:t>
      </w:r>
      <w:r w:rsidR="00CD0EC9" w:rsidRPr="6E5C04CC">
        <w:rPr>
          <w:lang w:val="en-GB"/>
        </w:rPr>
        <w:t xml:space="preserve">will have to be </w:t>
      </w:r>
      <w:r w:rsidR="00775CDC">
        <w:rPr>
          <w:lang w:val="en-GB"/>
        </w:rPr>
        <w:t>completed</w:t>
      </w:r>
      <w:r w:rsidR="00CD0EC9" w:rsidRPr="6E5C04CC">
        <w:rPr>
          <w:lang w:val="en-GB"/>
        </w:rPr>
        <w:t xml:space="preserve"> </w:t>
      </w:r>
      <w:r w:rsidR="00C67B90" w:rsidRPr="6E5C04CC">
        <w:rPr>
          <w:lang w:val="en-GB"/>
        </w:rPr>
        <w:t xml:space="preserve">by the Service provider </w:t>
      </w:r>
      <w:r w:rsidR="00C03D42" w:rsidRPr="6E5C04CC">
        <w:rPr>
          <w:lang w:val="en-GB"/>
        </w:rPr>
        <w:t>with</w:t>
      </w:r>
      <w:r w:rsidR="00390C7C" w:rsidRPr="6E5C04CC">
        <w:rPr>
          <w:lang w:val="en-GB"/>
        </w:rPr>
        <w:t xml:space="preserve"> data</w:t>
      </w:r>
      <w:r w:rsidR="009A71E8" w:rsidRPr="6E5C04CC">
        <w:rPr>
          <w:lang w:val="en-GB"/>
        </w:rPr>
        <w:t xml:space="preserve"> from the Analysis</w:t>
      </w:r>
      <w:r w:rsidR="002F3E4F" w:rsidRPr="6E5C04CC">
        <w:rPr>
          <w:lang w:val="en-GB"/>
        </w:rPr>
        <w:t>, and it</w:t>
      </w:r>
      <w:r w:rsidR="008C48E9" w:rsidRPr="6E5C04CC">
        <w:rPr>
          <w:lang w:val="en-GB"/>
        </w:rPr>
        <w:t xml:space="preserve"> will</w:t>
      </w:r>
      <w:r w:rsidR="002F3E4F" w:rsidRPr="6E5C04CC">
        <w:rPr>
          <w:lang w:val="en-GB"/>
        </w:rPr>
        <w:t xml:space="preserve"> serve</w:t>
      </w:r>
      <w:r w:rsidR="00390C7C" w:rsidRPr="6E5C04CC">
        <w:rPr>
          <w:lang w:val="en-GB"/>
        </w:rPr>
        <w:t xml:space="preserve"> as input </w:t>
      </w:r>
      <w:r w:rsidR="00CE7375" w:rsidRPr="6E5C04CC">
        <w:rPr>
          <w:lang w:val="en-GB"/>
        </w:rPr>
        <w:t xml:space="preserve">for </w:t>
      </w:r>
      <w:r w:rsidR="00C03D42" w:rsidRPr="6E5C04CC">
        <w:rPr>
          <w:lang w:val="en-GB"/>
        </w:rPr>
        <w:t xml:space="preserve">the </w:t>
      </w:r>
      <w:r w:rsidR="00CE7375" w:rsidRPr="6E5C04CC">
        <w:rPr>
          <w:lang w:val="en-GB"/>
        </w:rPr>
        <w:t xml:space="preserve">Joint </w:t>
      </w:r>
      <w:r w:rsidR="008D15AC">
        <w:rPr>
          <w:lang w:val="en-GB"/>
        </w:rPr>
        <w:t xml:space="preserve">cross-border </w:t>
      </w:r>
      <w:r w:rsidR="00C03D42" w:rsidRPr="6E5C04CC">
        <w:rPr>
          <w:lang w:val="en-GB"/>
        </w:rPr>
        <w:t>c</w:t>
      </w:r>
      <w:r w:rsidR="00CE7375" w:rsidRPr="6E5C04CC">
        <w:rPr>
          <w:lang w:val="en-GB"/>
        </w:rPr>
        <w:t xml:space="preserve">ommercial </w:t>
      </w:r>
      <w:r w:rsidR="00CE7375" w:rsidRPr="6E5C04CC" w:rsidDel="002F3E4F">
        <w:rPr>
          <w:lang w:val="en-GB"/>
        </w:rPr>
        <w:t>study</w:t>
      </w:r>
      <w:r w:rsidR="008D15AC">
        <w:rPr>
          <w:lang w:val="en-GB"/>
        </w:rPr>
        <w:t xml:space="preserve"> of NBHC</w:t>
      </w:r>
      <w:r w:rsidR="00196DE1" w:rsidRPr="6E5C04CC">
        <w:rPr>
          <w:lang w:val="en-GB"/>
        </w:rPr>
        <w:t>.</w:t>
      </w:r>
    </w:p>
    <w:p w14:paraId="17EE0E03" w14:textId="77777777" w:rsidR="003203CA" w:rsidRDefault="003203CA" w:rsidP="003203CA">
      <w:pPr>
        <w:pStyle w:val="ListParagraph"/>
        <w:spacing w:after="0" w:line="276" w:lineRule="auto"/>
        <w:jc w:val="both"/>
        <w:rPr>
          <w:rFonts w:cstheme="minorHAnsi"/>
          <w:lang w:val="en-GB"/>
        </w:rPr>
      </w:pPr>
    </w:p>
    <w:p w14:paraId="02BACBB3" w14:textId="16C1B30B" w:rsidR="00CD2047" w:rsidRDefault="00E349B1" w:rsidP="0015177C">
      <w:pPr>
        <w:pStyle w:val="ListParagraph"/>
        <w:spacing w:after="0" w:line="276" w:lineRule="auto"/>
        <w:jc w:val="both"/>
        <w:rPr>
          <w:lang w:val="en-GB"/>
        </w:rPr>
      </w:pPr>
      <w:r w:rsidRPr="0AAE4D89">
        <w:rPr>
          <w:lang w:val="en-GB"/>
        </w:rPr>
        <w:t xml:space="preserve">The Lithuania’s section of NBHC </w:t>
      </w:r>
      <w:r w:rsidR="005515CE" w:rsidRPr="0AAE4D89">
        <w:rPr>
          <w:lang w:val="en-GB"/>
        </w:rPr>
        <w:t xml:space="preserve">will </w:t>
      </w:r>
      <w:r w:rsidR="0000242E" w:rsidRPr="0AAE4D89">
        <w:rPr>
          <w:lang w:val="en-GB"/>
        </w:rPr>
        <w:t>ensure</w:t>
      </w:r>
      <w:r w:rsidR="001737A4" w:rsidRPr="0AAE4D89">
        <w:rPr>
          <w:lang w:val="en-GB"/>
        </w:rPr>
        <w:t xml:space="preserve"> renewable hydrogen </w:t>
      </w:r>
      <w:r w:rsidR="002F3E4F">
        <w:rPr>
          <w:lang w:val="en-GB"/>
        </w:rPr>
        <w:t>transmission</w:t>
      </w:r>
      <w:r w:rsidR="002F3E4F" w:rsidRPr="0AAE4D89">
        <w:rPr>
          <w:lang w:val="en-GB"/>
        </w:rPr>
        <w:t xml:space="preserve"> </w:t>
      </w:r>
      <w:r w:rsidR="00C344A0" w:rsidRPr="0AAE4D89">
        <w:rPr>
          <w:lang w:val="en-GB"/>
        </w:rPr>
        <w:t>through the pipeline from north</w:t>
      </w:r>
      <w:r w:rsidR="0000242E" w:rsidRPr="0AAE4D89">
        <w:rPr>
          <w:lang w:val="en-GB"/>
        </w:rPr>
        <w:t>ern part</w:t>
      </w:r>
      <w:r w:rsidR="00C344A0" w:rsidRPr="0AAE4D89">
        <w:rPr>
          <w:lang w:val="en-GB"/>
        </w:rPr>
        <w:t xml:space="preserve"> to south</w:t>
      </w:r>
      <w:r w:rsidR="0000242E" w:rsidRPr="0AAE4D89">
        <w:rPr>
          <w:lang w:val="en-GB"/>
        </w:rPr>
        <w:t>ern part of Lithuania</w:t>
      </w:r>
      <w:r w:rsidR="5CA3E275" w:rsidRPr="6E5C04CC">
        <w:rPr>
          <w:lang w:val="en-GB"/>
        </w:rPr>
        <w:t xml:space="preserve"> (further</w:t>
      </w:r>
      <w:r w:rsidR="004E1487">
        <w:rPr>
          <w:lang w:val="en-GB"/>
        </w:rPr>
        <w:t xml:space="preserve"> </w:t>
      </w:r>
      <w:r w:rsidR="00714313" w:rsidRPr="0AAE4D89">
        <w:rPr>
          <w:lang w:val="en-GB"/>
        </w:rPr>
        <w:t>–</w:t>
      </w:r>
      <w:r w:rsidR="5CA3E275" w:rsidRPr="6E5C04CC">
        <w:rPr>
          <w:lang w:val="en-GB"/>
        </w:rPr>
        <w:t xml:space="preserve"> the main pipeline)</w:t>
      </w:r>
      <w:r w:rsidR="00C344A0" w:rsidRPr="6E5C04CC">
        <w:rPr>
          <w:lang w:val="en-GB"/>
        </w:rPr>
        <w:t>,</w:t>
      </w:r>
      <w:r w:rsidR="00C344A0" w:rsidRPr="0AAE4D89">
        <w:rPr>
          <w:lang w:val="en-GB"/>
        </w:rPr>
        <w:t xml:space="preserve"> and </w:t>
      </w:r>
      <w:r w:rsidR="00DB7154" w:rsidRPr="0AAE4D89">
        <w:rPr>
          <w:lang w:val="en-GB"/>
        </w:rPr>
        <w:t>from the west northern part of Lithuani</w:t>
      </w:r>
      <w:r w:rsidR="0000242E" w:rsidRPr="0AAE4D89">
        <w:rPr>
          <w:lang w:val="en-GB"/>
        </w:rPr>
        <w:t>a</w:t>
      </w:r>
      <w:r w:rsidR="00DB7154" w:rsidRPr="0AAE4D89">
        <w:rPr>
          <w:lang w:val="en-GB"/>
        </w:rPr>
        <w:t xml:space="preserve"> towards the main </w:t>
      </w:r>
      <w:r w:rsidR="0000242E" w:rsidRPr="0AAE4D89">
        <w:rPr>
          <w:lang w:val="en-GB"/>
        </w:rPr>
        <w:t>pipeline</w:t>
      </w:r>
      <w:r w:rsidR="00D25017" w:rsidRPr="0AAE4D89">
        <w:rPr>
          <w:lang w:val="en-GB"/>
        </w:rPr>
        <w:t xml:space="preserve"> (further – the branch)</w:t>
      </w:r>
      <w:r w:rsidR="00E31129" w:rsidRPr="0AAE4D89">
        <w:rPr>
          <w:lang w:val="en-GB"/>
        </w:rPr>
        <w:t>.</w:t>
      </w:r>
      <w:r w:rsidR="000C6F86">
        <w:rPr>
          <w:lang w:val="en-GB"/>
        </w:rPr>
        <w:t xml:space="preserve"> The </w:t>
      </w:r>
      <w:r w:rsidR="003724E1">
        <w:rPr>
          <w:lang w:val="en-GB"/>
        </w:rPr>
        <w:t xml:space="preserve">assessment and </w:t>
      </w:r>
      <w:r w:rsidR="00C67B90">
        <w:rPr>
          <w:lang w:val="en-GB"/>
        </w:rPr>
        <w:t xml:space="preserve">economic and financial </w:t>
      </w:r>
      <w:r w:rsidR="00CE20C9">
        <w:rPr>
          <w:lang w:val="en-GB"/>
        </w:rPr>
        <w:t>calculations will</w:t>
      </w:r>
      <w:r w:rsidR="00E35D43">
        <w:rPr>
          <w:lang w:val="en-GB"/>
        </w:rPr>
        <w:t xml:space="preserve"> be carried out</w:t>
      </w:r>
      <w:r w:rsidR="0098096A">
        <w:rPr>
          <w:lang w:val="en-GB"/>
        </w:rPr>
        <w:t xml:space="preserve"> </w:t>
      </w:r>
      <w:r w:rsidR="00CF59E8">
        <w:rPr>
          <w:lang w:val="en-GB"/>
        </w:rPr>
        <w:t>for</w:t>
      </w:r>
      <w:r w:rsidR="0098096A">
        <w:rPr>
          <w:lang w:val="en-GB"/>
        </w:rPr>
        <w:t xml:space="preserve"> </w:t>
      </w:r>
      <w:r w:rsidR="0098096A" w:rsidRPr="00FE69EB">
        <w:rPr>
          <w:b/>
          <w:bCs/>
          <w:lang w:val="en-GB"/>
        </w:rPr>
        <w:t>two infrastructure scenarios</w:t>
      </w:r>
      <w:r w:rsidR="0098096A">
        <w:rPr>
          <w:lang w:val="en-GB"/>
        </w:rPr>
        <w:t xml:space="preserve">: </w:t>
      </w:r>
    </w:p>
    <w:p w14:paraId="238FE5B7" w14:textId="77777777" w:rsidR="004D7F10" w:rsidRDefault="004D7F10" w:rsidP="0015177C">
      <w:pPr>
        <w:pStyle w:val="ListParagraph"/>
        <w:spacing w:after="0" w:line="276" w:lineRule="auto"/>
        <w:jc w:val="both"/>
        <w:rPr>
          <w:lang w:val="en-GB"/>
        </w:rPr>
      </w:pPr>
    </w:p>
    <w:p w14:paraId="0D3596E5" w14:textId="77777777" w:rsidR="00CD2047" w:rsidRDefault="2C51B9CF" w:rsidP="0015177C">
      <w:pPr>
        <w:pStyle w:val="ListParagraph"/>
        <w:spacing w:after="0" w:line="276" w:lineRule="auto"/>
        <w:jc w:val="both"/>
        <w:rPr>
          <w:lang w:val="en-GB"/>
        </w:rPr>
      </w:pPr>
      <w:r w:rsidRPr="6E5C04CC">
        <w:rPr>
          <w:lang w:val="en-GB"/>
        </w:rPr>
        <w:t xml:space="preserve">1) </w:t>
      </w:r>
      <w:r w:rsidR="00D63DEF">
        <w:rPr>
          <w:lang w:val="en-GB"/>
        </w:rPr>
        <w:t>the main pipeline</w:t>
      </w:r>
      <w:r w:rsidR="00CD2047">
        <w:rPr>
          <w:lang w:val="en-GB"/>
        </w:rPr>
        <w:t>,</w:t>
      </w:r>
      <w:r w:rsidR="00D63DEF">
        <w:rPr>
          <w:lang w:val="en-GB"/>
        </w:rPr>
        <w:t xml:space="preserve"> and </w:t>
      </w:r>
    </w:p>
    <w:p w14:paraId="66C03161" w14:textId="6B5DCAAD" w:rsidR="00DC11D8" w:rsidRDefault="7F5A6E74" w:rsidP="0015177C">
      <w:pPr>
        <w:pStyle w:val="ListParagraph"/>
        <w:spacing w:after="0" w:line="276" w:lineRule="auto"/>
        <w:jc w:val="both"/>
        <w:rPr>
          <w:lang w:val="en-GB"/>
        </w:rPr>
      </w:pPr>
      <w:r w:rsidRPr="6E5C04CC">
        <w:rPr>
          <w:lang w:val="en-GB"/>
        </w:rPr>
        <w:t xml:space="preserve">2) </w:t>
      </w:r>
      <w:r w:rsidR="00D63DEF">
        <w:rPr>
          <w:lang w:val="en-GB"/>
        </w:rPr>
        <w:t xml:space="preserve">the main pipeline </w:t>
      </w:r>
      <w:r w:rsidR="0015177C">
        <w:rPr>
          <w:lang w:val="en-GB"/>
        </w:rPr>
        <w:t>including</w:t>
      </w:r>
      <w:r w:rsidR="00D63DEF">
        <w:rPr>
          <w:lang w:val="en-GB"/>
        </w:rPr>
        <w:t xml:space="preserve"> the </w:t>
      </w:r>
      <w:r w:rsidR="003B2D14">
        <w:rPr>
          <w:lang w:val="en-GB"/>
        </w:rPr>
        <w:t>branch</w:t>
      </w:r>
      <w:r w:rsidR="0015177C">
        <w:rPr>
          <w:lang w:val="en-GB"/>
        </w:rPr>
        <w:t>.</w:t>
      </w:r>
      <w:r w:rsidR="00F073F7" w:rsidRPr="0AAE4D89">
        <w:rPr>
          <w:lang w:val="en-GB"/>
        </w:rPr>
        <w:t xml:space="preserve"> </w:t>
      </w:r>
    </w:p>
    <w:p w14:paraId="20F81EAE" w14:textId="77777777" w:rsidR="00CD2047" w:rsidRDefault="00CD2047" w:rsidP="0015177C">
      <w:pPr>
        <w:pStyle w:val="ListParagraph"/>
        <w:spacing w:after="0" w:line="276" w:lineRule="auto"/>
        <w:jc w:val="both"/>
        <w:rPr>
          <w:lang w:val="en-GB"/>
        </w:rPr>
      </w:pPr>
    </w:p>
    <w:p w14:paraId="47A447C2" w14:textId="11A7F68E" w:rsidR="00F073F7" w:rsidRDefault="0015177C" w:rsidP="0015177C">
      <w:pPr>
        <w:pStyle w:val="ListParagraph"/>
        <w:spacing w:after="0" w:line="276" w:lineRule="auto"/>
        <w:jc w:val="both"/>
        <w:rPr>
          <w:lang w:val="en-GB"/>
        </w:rPr>
      </w:pPr>
      <w:r>
        <w:rPr>
          <w:lang w:val="en-GB"/>
        </w:rPr>
        <w:t xml:space="preserve">The </w:t>
      </w:r>
      <w:r w:rsidR="00CD2047">
        <w:rPr>
          <w:lang w:val="en-GB"/>
        </w:rPr>
        <w:t xml:space="preserve">Analysis </w:t>
      </w:r>
      <w:proofErr w:type="gramStart"/>
      <w:r w:rsidR="00CD2047">
        <w:rPr>
          <w:lang w:val="en-GB"/>
        </w:rPr>
        <w:t>has to</w:t>
      </w:r>
      <w:proofErr w:type="gramEnd"/>
      <w:r>
        <w:rPr>
          <w:lang w:val="en-GB"/>
        </w:rPr>
        <w:t xml:space="preserve"> be </w:t>
      </w:r>
      <w:r w:rsidR="21A9B9C4" w:rsidRPr="6E5C04CC">
        <w:rPr>
          <w:lang w:val="en-GB"/>
        </w:rPr>
        <w:t xml:space="preserve">conducted </w:t>
      </w:r>
      <w:r w:rsidR="009B4334">
        <w:rPr>
          <w:lang w:val="en-GB"/>
        </w:rPr>
        <w:t xml:space="preserve">for </w:t>
      </w:r>
      <w:r w:rsidR="009B4334" w:rsidRPr="00FE69EB">
        <w:rPr>
          <w:b/>
          <w:bCs/>
          <w:lang w:val="en-GB"/>
        </w:rPr>
        <w:t>three hydrogen market development scenarios</w:t>
      </w:r>
      <w:r w:rsidR="00DC11D8">
        <w:rPr>
          <w:lang w:val="en-GB"/>
        </w:rPr>
        <w:t xml:space="preserve"> </w:t>
      </w:r>
      <w:r w:rsidR="00CD2047">
        <w:rPr>
          <w:lang w:val="en-GB"/>
        </w:rPr>
        <w:t>in Lithuania</w:t>
      </w:r>
      <w:r w:rsidR="008D15AC">
        <w:rPr>
          <w:lang w:val="en-GB"/>
        </w:rPr>
        <w:t>. Descriptions for the scenarios will</w:t>
      </w:r>
      <w:r w:rsidR="00435333">
        <w:rPr>
          <w:lang w:val="en-GB"/>
        </w:rPr>
        <w:t xml:space="preserve"> be</w:t>
      </w:r>
      <w:r w:rsidR="00CD2047">
        <w:rPr>
          <w:lang w:val="en-GB"/>
        </w:rPr>
        <w:t xml:space="preserve"> </w:t>
      </w:r>
      <w:r w:rsidR="00DC11D8">
        <w:rPr>
          <w:lang w:val="en-GB"/>
        </w:rPr>
        <w:t>provided by Amber Grid.</w:t>
      </w:r>
    </w:p>
    <w:p w14:paraId="460EF8DA" w14:textId="77777777" w:rsidR="003B4862" w:rsidRDefault="003B4862" w:rsidP="0015177C">
      <w:pPr>
        <w:pStyle w:val="ListParagraph"/>
        <w:spacing w:after="0" w:line="276" w:lineRule="auto"/>
        <w:jc w:val="both"/>
        <w:rPr>
          <w:lang w:val="en-GB"/>
        </w:rPr>
      </w:pPr>
    </w:p>
    <w:p w14:paraId="4754FB94" w14:textId="3BDCF80C" w:rsidR="003B4862" w:rsidRDefault="003B4862" w:rsidP="00D60F12">
      <w:pPr>
        <w:pStyle w:val="ListParagraph"/>
        <w:numPr>
          <w:ilvl w:val="0"/>
          <w:numId w:val="1"/>
        </w:numPr>
        <w:spacing w:after="0" w:line="276" w:lineRule="auto"/>
        <w:jc w:val="both"/>
        <w:rPr>
          <w:b/>
          <w:bCs/>
          <w:caps/>
          <w:lang w:val="en-GB"/>
        </w:rPr>
      </w:pPr>
      <w:r w:rsidRPr="0084010A">
        <w:rPr>
          <w:b/>
          <w:bCs/>
          <w:caps/>
          <w:lang w:val="en-GB"/>
        </w:rPr>
        <w:t>Descriptions of the main assumptions</w:t>
      </w:r>
    </w:p>
    <w:p w14:paraId="2750CB10" w14:textId="77777777" w:rsidR="0084010A" w:rsidRPr="0084010A" w:rsidRDefault="0084010A" w:rsidP="0084010A">
      <w:pPr>
        <w:pStyle w:val="ListParagraph"/>
        <w:spacing w:after="0" w:line="276" w:lineRule="auto"/>
        <w:ind w:left="360"/>
        <w:jc w:val="both"/>
        <w:rPr>
          <w:b/>
          <w:bCs/>
          <w:caps/>
          <w:lang w:val="en-GB"/>
        </w:rPr>
      </w:pPr>
    </w:p>
    <w:p w14:paraId="22442E24" w14:textId="7B3DBAA2" w:rsidR="003B4862" w:rsidRDefault="003B4862" w:rsidP="0084010A">
      <w:pPr>
        <w:spacing w:after="0" w:line="276" w:lineRule="auto"/>
        <w:ind w:left="360"/>
        <w:jc w:val="both"/>
        <w:rPr>
          <w:lang w:val="en-GB"/>
        </w:rPr>
      </w:pPr>
      <w:r w:rsidRPr="0084010A">
        <w:rPr>
          <w:lang w:val="en-GB"/>
        </w:rPr>
        <w:t xml:space="preserve">Amber Grid will provide the following main assumptions to be used for this Analysis: national hydrogen supply </w:t>
      </w:r>
      <w:r w:rsidRPr="0084010A">
        <w:rPr>
          <w:lang w:val="en-US"/>
        </w:rPr>
        <w:t>&amp;</w:t>
      </w:r>
      <w:r w:rsidRPr="0084010A">
        <w:rPr>
          <w:lang w:val="en-GB"/>
        </w:rPr>
        <w:t xml:space="preserve"> demand data for three hydrogen market development scenarios, two infrastructure scenarios, technical assumptions (capacities, </w:t>
      </w:r>
      <w:r w:rsidR="00AA044B">
        <w:rPr>
          <w:lang w:val="en-GB"/>
        </w:rPr>
        <w:t xml:space="preserve">other </w:t>
      </w:r>
      <w:r w:rsidRPr="0084010A">
        <w:rPr>
          <w:lang w:val="en-GB"/>
        </w:rPr>
        <w:t xml:space="preserve">technical parameters, </w:t>
      </w:r>
      <w:r w:rsidR="00AA044B">
        <w:rPr>
          <w:lang w:val="en-GB"/>
        </w:rPr>
        <w:t>etc.</w:t>
      </w:r>
      <w:r w:rsidRPr="0084010A">
        <w:rPr>
          <w:lang w:val="en-GB"/>
        </w:rPr>
        <w:t>), and CAPEX</w:t>
      </w:r>
      <w:r w:rsidR="006303DC">
        <w:rPr>
          <w:lang w:val="en-GB"/>
        </w:rPr>
        <w:t xml:space="preserve"> for one hydrogen market development scena</w:t>
      </w:r>
      <w:r w:rsidR="004D272F">
        <w:rPr>
          <w:lang w:val="en-GB"/>
        </w:rPr>
        <w:t>rio</w:t>
      </w:r>
      <w:r w:rsidRPr="0084010A">
        <w:rPr>
          <w:lang w:val="en-GB"/>
        </w:rPr>
        <w:t>. The CAPEX data will be used as an outcome from the Detailed technical and environmental study for the Lithuania’s section of NBHC to be carried out in parallel with this Analysis</w:t>
      </w:r>
      <w:r w:rsidR="003C4B5E" w:rsidRPr="0084010A">
        <w:rPr>
          <w:lang w:val="en-GB"/>
        </w:rPr>
        <w:t>.</w:t>
      </w:r>
      <w:r w:rsidR="003C4B5E">
        <w:rPr>
          <w:lang w:val="en-GB"/>
        </w:rPr>
        <w:t xml:space="preserve"> The latest market testing results will be provided by Amber Grid.</w:t>
      </w:r>
    </w:p>
    <w:p w14:paraId="244FCDE3" w14:textId="77777777" w:rsidR="0084010A" w:rsidRPr="0084010A" w:rsidRDefault="0084010A" w:rsidP="0084010A">
      <w:pPr>
        <w:spacing w:after="0" w:line="276" w:lineRule="auto"/>
        <w:ind w:left="360"/>
        <w:jc w:val="both"/>
        <w:rPr>
          <w:lang w:val="en-GB"/>
        </w:rPr>
      </w:pPr>
    </w:p>
    <w:p w14:paraId="56129931" w14:textId="0A2DC6A0" w:rsidR="003B4862" w:rsidRPr="003B4862" w:rsidRDefault="003B4862" w:rsidP="0084010A">
      <w:pPr>
        <w:spacing w:after="0" w:line="276" w:lineRule="auto"/>
        <w:ind w:left="360"/>
        <w:jc w:val="both"/>
        <w:rPr>
          <w:lang w:val="en-GB"/>
        </w:rPr>
      </w:pPr>
      <w:r w:rsidRPr="00E135EF">
        <w:rPr>
          <w:lang w:val="en-GB"/>
        </w:rPr>
        <w:t xml:space="preserve">The Service </w:t>
      </w:r>
      <w:r>
        <w:rPr>
          <w:lang w:val="en-GB"/>
        </w:rPr>
        <w:t>p</w:t>
      </w:r>
      <w:r w:rsidRPr="00E135EF">
        <w:rPr>
          <w:lang w:val="en-GB"/>
        </w:rPr>
        <w:t xml:space="preserve">rovider will </w:t>
      </w:r>
      <w:r>
        <w:rPr>
          <w:lang w:val="en-GB"/>
        </w:rPr>
        <w:t>compile an</w:t>
      </w:r>
      <w:r w:rsidRPr="00E135EF">
        <w:rPr>
          <w:lang w:val="en-GB"/>
        </w:rPr>
        <w:t xml:space="preserve"> overview with the list of assumptions and data to be used for the purpose of</w:t>
      </w:r>
      <w:r>
        <w:rPr>
          <w:lang w:val="en-GB"/>
        </w:rPr>
        <w:t xml:space="preserve"> this</w:t>
      </w:r>
      <w:r w:rsidRPr="00E135EF">
        <w:rPr>
          <w:lang w:val="en-GB"/>
        </w:rPr>
        <w:t xml:space="preserve"> Analysis. The Service </w:t>
      </w:r>
      <w:r>
        <w:rPr>
          <w:lang w:val="en-GB"/>
        </w:rPr>
        <w:t>p</w:t>
      </w:r>
      <w:r w:rsidRPr="00E135EF">
        <w:rPr>
          <w:lang w:val="en-GB"/>
        </w:rPr>
        <w:t>rovider will include assumptions such as macroeconomic data and forecasts (GDP growth, inflation, etc.)</w:t>
      </w:r>
      <w:r>
        <w:rPr>
          <w:lang w:val="en-GB"/>
        </w:rPr>
        <w:t xml:space="preserve"> and other</w:t>
      </w:r>
      <w:r w:rsidRPr="00E135EF">
        <w:rPr>
          <w:lang w:val="en-GB"/>
        </w:rPr>
        <w:t xml:space="preserve">, which might have impact on the Analysis. </w:t>
      </w:r>
      <w:r w:rsidR="00BB2A92" w:rsidRPr="00E135EF">
        <w:rPr>
          <w:lang w:val="en-GB"/>
        </w:rPr>
        <w:t xml:space="preserve">Official data sources will be used. </w:t>
      </w:r>
      <w:r>
        <w:rPr>
          <w:lang w:val="en-GB"/>
        </w:rPr>
        <w:t>The a</w:t>
      </w:r>
      <w:r w:rsidRPr="00E135EF">
        <w:rPr>
          <w:lang w:val="en-GB"/>
        </w:rPr>
        <w:t xml:space="preserve">ssumptions will be coordinated with Amber Grid during the kick-off and further meetings within the timeframe of the implementation of the Analysis. </w:t>
      </w:r>
      <w:r>
        <w:rPr>
          <w:lang w:val="en-GB"/>
        </w:rPr>
        <w:t>T</w:t>
      </w:r>
      <w:r w:rsidRPr="00E135EF">
        <w:rPr>
          <w:lang w:val="en-GB"/>
        </w:rPr>
        <w:t xml:space="preserve">he </w:t>
      </w:r>
      <w:r w:rsidR="00BB2A92">
        <w:rPr>
          <w:lang w:val="en-GB"/>
        </w:rPr>
        <w:t xml:space="preserve">detailed </w:t>
      </w:r>
      <w:r w:rsidRPr="00E135EF">
        <w:rPr>
          <w:lang w:val="en-GB"/>
        </w:rPr>
        <w:t>timeline for the implementation of the Analysis will be agreed during the kick off</w:t>
      </w:r>
      <w:r w:rsidR="00051AFD">
        <w:rPr>
          <w:lang w:val="en-GB"/>
        </w:rPr>
        <w:t xml:space="preserve"> meeting.</w:t>
      </w:r>
    </w:p>
    <w:p w14:paraId="17D24F7A" w14:textId="77777777" w:rsidR="000E766B" w:rsidRDefault="000E766B" w:rsidP="00AA044B">
      <w:pPr>
        <w:spacing w:after="0" w:line="276" w:lineRule="auto"/>
        <w:ind w:left="360"/>
        <w:jc w:val="both"/>
        <w:rPr>
          <w:lang w:val="en-GB"/>
        </w:rPr>
      </w:pPr>
    </w:p>
    <w:p w14:paraId="09AC5023" w14:textId="1F34C13A" w:rsidR="00AA044B" w:rsidRPr="00836037" w:rsidRDefault="00AA044B" w:rsidP="00AA044B">
      <w:pPr>
        <w:spacing w:after="0" w:line="276" w:lineRule="auto"/>
        <w:ind w:left="360"/>
        <w:jc w:val="both"/>
      </w:pPr>
      <w:r w:rsidRPr="00AA044B">
        <w:rPr>
          <w:lang w:val="en-GB"/>
        </w:rPr>
        <w:t xml:space="preserve">The </w:t>
      </w:r>
      <w:r w:rsidR="000E766B">
        <w:rPr>
          <w:lang w:val="en-GB"/>
        </w:rPr>
        <w:t>Analysis</w:t>
      </w:r>
      <w:r w:rsidRPr="00AA044B">
        <w:rPr>
          <w:lang w:val="en-GB"/>
        </w:rPr>
        <w:t xml:space="preserve"> </w:t>
      </w:r>
      <w:r w:rsidR="000E766B">
        <w:rPr>
          <w:lang w:val="en-GB"/>
        </w:rPr>
        <w:t>shall</w:t>
      </w:r>
      <w:r w:rsidRPr="00AA044B">
        <w:rPr>
          <w:lang w:val="en-GB"/>
        </w:rPr>
        <w:t xml:space="preserve"> be completed for three-time horizons: 2035, 2040 and 2050</w:t>
      </w:r>
      <w:r>
        <w:rPr>
          <w:lang w:val="en-GB"/>
        </w:rPr>
        <w:t>.</w:t>
      </w:r>
      <w:r w:rsidRPr="00AA044B">
        <w:rPr>
          <w:rFonts w:ascii="Calibri" w:hAnsi="Calibri"/>
          <w:lang w:val="en-GB"/>
        </w:rPr>
        <w:t xml:space="preserve"> The geographical scope of the analysis shall include the territory of Lithuania.</w:t>
      </w:r>
    </w:p>
    <w:p w14:paraId="328B09D6" w14:textId="77777777" w:rsidR="00AA044B" w:rsidRPr="00AA044B" w:rsidRDefault="00AA044B" w:rsidP="00AA044B">
      <w:pPr>
        <w:pStyle w:val="ListParagraph"/>
        <w:spacing w:after="0" w:line="276" w:lineRule="auto"/>
        <w:ind w:left="360"/>
        <w:jc w:val="both"/>
        <w:rPr>
          <w:rFonts w:cstheme="minorHAnsi"/>
        </w:rPr>
      </w:pPr>
    </w:p>
    <w:p w14:paraId="3DF3B528" w14:textId="1B051649" w:rsidR="00C221A4" w:rsidRPr="00AA044B" w:rsidRDefault="00C221A4" w:rsidP="00AA044B">
      <w:pPr>
        <w:spacing w:after="0" w:line="276" w:lineRule="auto"/>
        <w:ind w:firstLine="360"/>
        <w:jc w:val="both"/>
        <w:rPr>
          <w:rFonts w:cstheme="minorHAnsi"/>
          <w:lang w:val="en-GB"/>
        </w:rPr>
      </w:pPr>
    </w:p>
    <w:p w14:paraId="4A2375C0" w14:textId="120C202F" w:rsidR="00F03AD5" w:rsidRPr="00CB36C0" w:rsidRDefault="5EBA6CE5" w:rsidP="006C0FCD">
      <w:pPr>
        <w:pStyle w:val="ListParagraph"/>
        <w:numPr>
          <w:ilvl w:val="0"/>
          <w:numId w:val="1"/>
        </w:numPr>
        <w:spacing w:after="0" w:line="276" w:lineRule="auto"/>
        <w:jc w:val="both"/>
        <w:rPr>
          <w:b/>
          <w:bCs/>
          <w:caps/>
          <w:lang w:val="en-GB"/>
        </w:rPr>
      </w:pPr>
      <w:r w:rsidRPr="6E5C04CC">
        <w:rPr>
          <w:b/>
          <w:bCs/>
          <w:caps/>
          <w:lang w:val="en-GB"/>
        </w:rPr>
        <w:t xml:space="preserve">The </w:t>
      </w:r>
      <w:r w:rsidR="00846996" w:rsidRPr="6E5C04CC">
        <w:rPr>
          <w:b/>
          <w:bCs/>
          <w:caps/>
          <w:lang w:val="en-GB"/>
        </w:rPr>
        <w:t>scOPE</w:t>
      </w:r>
      <w:r w:rsidR="007A64E3">
        <w:rPr>
          <w:b/>
          <w:bCs/>
          <w:caps/>
          <w:lang w:val="en-GB"/>
        </w:rPr>
        <w:t xml:space="preserve"> of the analysis</w:t>
      </w:r>
    </w:p>
    <w:p w14:paraId="47FAEDEB" w14:textId="77777777" w:rsidR="00C91657" w:rsidRDefault="00C91657" w:rsidP="00C91657">
      <w:pPr>
        <w:pStyle w:val="ListParagraph"/>
        <w:spacing w:after="0" w:line="276" w:lineRule="auto"/>
        <w:ind w:left="1134"/>
        <w:jc w:val="both"/>
        <w:rPr>
          <w:rFonts w:cstheme="minorHAnsi"/>
          <w:lang w:val="en-GB"/>
        </w:rPr>
      </w:pPr>
    </w:p>
    <w:p w14:paraId="56BB6AB3" w14:textId="77777777" w:rsidR="003C4B5E" w:rsidRPr="00020A60" w:rsidRDefault="003C4B5E" w:rsidP="003C4B5E">
      <w:pPr>
        <w:pStyle w:val="ListParagraph"/>
        <w:spacing w:after="0" w:line="276" w:lineRule="auto"/>
        <w:ind w:left="360"/>
        <w:jc w:val="both"/>
        <w:rPr>
          <w:lang w:val="en-GB"/>
        </w:rPr>
      </w:pPr>
      <w:r w:rsidRPr="2C7D12CC">
        <w:rPr>
          <w:lang w:val="en-GB"/>
        </w:rPr>
        <w:t xml:space="preserve">The scope will include the </w:t>
      </w:r>
      <w:r>
        <w:rPr>
          <w:lang w:val="en-GB"/>
        </w:rPr>
        <w:t>assessment of the</w:t>
      </w:r>
      <w:r w:rsidRPr="2C7D12CC">
        <w:rPr>
          <w:lang w:val="en-GB"/>
        </w:rPr>
        <w:t xml:space="preserve"> national costs, development of detailed revenue and business models, initial terms under which the network users will access and utilise the NBHC, evaluation of the Project’s profitability, development of a comprehensive budget and financial plan, preparation of cost benefit analysis</w:t>
      </w:r>
      <w:r>
        <w:rPr>
          <w:lang w:val="en-GB"/>
        </w:rPr>
        <w:t xml:space="preserve"> (further – the CBA)</w:t>
      </w:r>
      <w:r w:rsidRPr="2C7D12CC">
        <w:rPr>
          <w:lang w:val="en-GB"/>
        </w:rPr>
        <w:t xml:space="preserve"> covering also socio-economic contribution of the Project</w:t>
      </w:r>
      <w:r w:rsidRPr="004E1487">
        <w:rPr>
          <w:lang w:val="en-GB"/>
        </w:rPr>
        <w:t xml:space="preserve"> </w:t>
      </w:r>
      <w:r w:rsidRPr="2C7D12CC">
        <w:rPr>
          <w:lang w:val="en-GB"/>
        </w:rPr>
        <w:t>in Lithuania</w:t>
      </w:r>
      <w:r>
        <w:rPr>
          <w:lang w:val="en-GB"/>
        </w:rPr>
        <w:t xml:space="preserve">. CBA will be conducted based on </w:t>
      </w:r>
      <w:r w:rsidRPr="2C7D12CC">
        <w:rPr>
          <w:lang w:val="en-GB"/>
        </w:rPr>
        <w:t xml:space="preserve">applicable </w:t>
      </w:r>
      <w:r w:rsidRPr="00020A60">
        <w:rPr>
          <w:lang w:val="en-GB"/>
        </w:rPr>
        <w:t>ENTSOG Single-Sector Cost-Benefit Analysis (CBA) Methodology:</w:t>
      </w:r>
      <w:r w:rsidRPr="2B072035">
        <w:rPr>
          <w:lang w:val="en-GB"/>
        </w:rPr>
        <w:t xml:space="preserve"> </w:t>
      </w:r>
    </w:p>
    <w:p w14:paraId="6EF93096" w14:textId="77777777" w:rsidR="003C4B5E" w:rsidRPr="00453CE7" w:rsidRDefault="003C4B5E" w:rsidP="003C4B5E">
      <w:pPr>
        <w:pStyle w:val="ListParagraph"/>
        <w:spacing w:line="276" w:lineRule="auto"/>
        <w:ind w:left="360"/>
        <w:jc w:val="both"/>
        <w:rPr>
          <w:lang w:val="en-GB"/>
        </w:rPr>
      </w:pPr>
      <w:hyperlink r:id="rId13" w:history="1">
        <w:r w:rsidRPr="00D60F12">
          <w:rPr>
            <w:rStyle w:val="Hyperlink"/>
            <w:lang w:val="en-GB"/>
          </w:rPr>
          <w:t>https://www.entsog.eu/sites/default/files/2025-02/entsog_CBA_methodolgy_report_250225.pdf</w:t>
        </w:r>
      </w:hyperlink>
      <w:r>
        <w:rPr>
          <w:lang w:val="en-GB"/>
        </w:rPr>
        <w:t>)</w:t>
      </w:r>
    </w:p>
    <w:p w14:paraId="0C62AA50" w14:textId="77777777" w:rsidR="003C4B5E" w:rsidRPr="00F02A0C" w:rsidRDefault="003C4B5E" w:rsidP="00C91657">
      <w:pPr>
        <w:pStyle w:val="ListParagraph"/>
        <w:spacing w:after="0" w:line="276" w:lineRule="auto"/>
        <w:ind w:left="1134"/>
        <w:jc w:val="both"/>
        <w:rPr>
          <w:rFonts w:cstheme="minorHAnsi"/>
          <w:lang w:val="en-GB"/>
        </w:rPr>
      </w:pPr>
    </w:p>
    <w:p w14:paraId="1F917C0D" w14:textId="6E937DCF" w:rsidR="00C01501" w:rsidRPr="008732C3" w:rsidRDefault="00A501C4" w:rsidP="008732C3">
      <w:pPr>
        <w:spacing w:after="0" w:line="276" w:lineRule="auto"/>
        <w:jc w:val="both"/>
        <w:rPr>
          <w:lang w:val="en-GB"/>
        </w:rPr>
      </w:pPr>
      <w:r w:rsidRPr="008732C3">
        <w:rPr>
          <w:lang w:val="en-GB"/>
        </w:rPr>
        <w:t xml:space="preserve">Task </w:t>
      </w:r>
      <w:r w:rsidR="00833D87" w:rsidRPr="008732C3">
        <w:rPr>
          <w:lang w:val="en-GB"/>
        </w:rPr>
        <w:t>1</w:t>
      </w:r>
      <w:r w:rsidRPr="008732C3">
        <w:rPr>
          <w:lang w:val="en-GB"/>
        </w:rPr>
        <w:t xml:space="preserve">. </w:t>
      </w:r>
      <w:r w:rsidR="00C01501" w:rsidRPr="008732C3">
        <w:rPr>
          <w:b/>
          <w:bCs/>
          <w:lang w:val="en-GB"/>
        </w:rPr>
        <w:t>Cost estima</w:t>
      </w:r>
      <w:r w:rsidR="00A91F3B" w:rsidRPr="008732C3">
        <w:rPr>
          <w:b/>
          <w:bCs/>
          <w:lang w:val="en-GB"/>
        </w:rPr>
        <w:t>t</w:t>
      </w:r>
      <w:r w:rsidR="00AE1CDD" w:rsidRPr="008732C3">
        <w:rPr>
          <w:b/>
          <w:bCs/>
          <w:lang w:val="en-GB"/>
        </w:rPr>
        <w:t>ion</w:t>
      </w:r>
      <w:r w:rsidR="00AF670B" w:rsidRPr="008732C3">
        <w:rPr>
          <w:lang w:val="en-GB"/>
        </w:rPr>
        <w:t>:</w:t>
      </w:r>
    </w:p>
    <w:p w14:paraId="74E31C1D" w14:textId="6EFEEF55" w:rsidR="00BA48AE" w:rsidRPr="008A1F00" w:rsidRDefault="00DF6501" w:rsidP="004F3FA1">
      <w:pPr>
        <w:pStyle w:val="ListParagraph"/>
        <w:numPr>
          <w:ilvl w:val="0"/>
          <w:numId w:val="27"/>
        </w:numPr>
        <w:spacing w:after="0" w:line="276" w:lineRule="auto"/>
        <w:ind w:left="1276"/>
        <w:jc w:val="both"/>
        <w:rPr>
          <w:lang w:val="en-GB"/>
        </w:rPr>
      </w:pPr>
      <w:r w:rsidRPr="008A1F00">
        <w:rPr>
          <w:b/>
          <w:bCs/>
          <w:lang w:val="en-GB"/>
        </w:rPr>
        <w:t>Capital expenditure (</w:t>
      </w:r>
      <w:r w:rsidR="00D04812" w:rsidRPr="008A1F00">
        <w:rPr>
          <w:b/>
          <w:bCs/>
          <w:lang w:val="en-GB"/>
        </w:rPr>
        <w:t>CAPEX</w:t>
      </w:r>
      <w:r w:rsidRPr="008A1F00">
        <w:rPr>
          <w:b/>
          <w:bCs/>
          <w:lang w:val="en-GB"/>
        </w:rPr>
        <w:t>)</w:t>
      </w:r>
      <w:r w:rsidR="00D04812" w:rsidRPr="008A1F00">
        <w:rPr>
          <w:lang w:val="en-GB"/>
        </w:rPr>
        <w:t xml:space="preserve"> data</w:t>
      </w:r>
      <w:r w:rsidR="00AD1C07" w:rsidRPr="008A1F00">
        <w:rPr>
          <w:lang w:val="en-GB"/>
        </w:rPr>
        <w:t xml:space="preserve"> </w:t>
      </w:r>
      <w:r w:rsidR="000D3D26" w:rsidRPr="008A1F00">
        <w:rPr>
          <w:lang w:val="en-GB"/>
        </w:rPr>
        <w:t>wi</w:t>
      </w:r>
      <w:r w:rsidR="000901E9" w:rsidRPr="008A1F00">
        <w:rPr>
          <w:lang w:val="en-GB"/>
        </w:rPr>
        <w:t>ll</w:t>
      </w:r>
      <w:r w:rsidR="000D3D26" w:rsidRPr="008A1F00">
        <w:rPr>
          <w:lang w:val="en-GB"/>
        </w:rPr>
        <w:t xml:space="preserve"> be provided by Amber Grid</w:t>
      </w:r>
      <w:r w:rsidR="007879BE">
        <w:rPr>
          <w:lang w:val="en-GB"/>
        </w:rPr>
        <w:t>.</w:t>
      </w:r>
      <w:r w:rsidR="000B4DDA" w:rsidRPr="008A1F00">
        <w:rPr>
          <w:lang w:val="en-GB"/>
        </w:rPr>
        <w:t xml:space="preserve"> </w:t>
      </w:r>
      <w:r w:rsidR="007879BE">
        <w:rPr>
          <w:lang w:val="en-GB"/>
        </w:rPr>
        <w:t>I</w:t>
      </w:r>
      <w:r w:rsidR="000B4DDA" w:rsidRPr="008A1F00">
        <w:rPr>
          <w:lang w:val="en-GB"/>
        </w:rPr>
        <w:t>t</w:t>
      </w:r>
      <w:r w:rsidR="00282998" w:rsidRPr="008A1F00">
        <w:rPr>
          <w:lang w:val="en-GB"/>
        </w:rPr>
        <w:t xml:space="preserve"> will </w:t>
      </w:r>
      <w:r w:rsidRPr="008A1F00">
        <w:rPr>
          <w:lang w:val="en-GB"/>
        </w:rPr>
        <w:t>result</w:t>
      </w:r>
      <w:r w:rsidR="00282998" w:rsidRPr="008A1F00">
        <w:rPr>
          <w:lang w:val="en-GB"/>
        </w:rPr>
        <w:t xml:space="preserve"> from the Detailed technical and environmental study for the Lithuania’s section of NBHC, which will be carried out in parallel with this Analysis.</w:t>
      </w:r>
    </w:p>
    <w:p w14:paraId="4BD9B649" w14:textId="1A1F0912" w:rsidR="00282998" w:rsidRDefault="00BA48AE" w:rsidP="00282998">
      <w:pPr>
        <w:spacing w:after="0" w:line="276" w:lineRule="auto"/>
        <w:ind w:left="1296"/>
        <w:jc w:val="both"/>
        <w:rPr>
          <w:lang w:val="en-GB"/>
        </w:rPr>
      </w:pPr>
      <w:r>
        <w:rPr>
          <w:lang w:val="en-GB"/>
        </w:rPr>
        <w:t xml:space="preserve">The CAPEX data will </w:t>
      </w:r>
      <w:r w:rsidR="00B517DA">
        <w:rPr>
          <w:lang w:val="en-GB"/>
        </w:rPr>
        <w:t>include</w:t>
      </w:r>
      <w:r w:rsidR="00A0359F">
        <w:rPr>
          <w:lang w:val="en-GB"/>
        </w:rPr>
        <w:t xml:space="preserve"> the following:</w:t>
      </w:r>
    </w:p>
    <w:p w14:paraId="3E5C4F28" w14:textId="77777777" w:rsidR="00A0359F" w:rsidRPr="00AC5560" w:rsidRDefault="00A0359F" w:rsidP="00A0359F">
      <w:pPr>
        <w:pStyle w:val="ListParagraph"/>
        <w:numPr>
          <w:ilvl w:val="0"/>
          <w:numId w:val="24"/>
        </w:numPr>
        <w:spacing w:after="0" w:line="276" w:lineRule="auto"/>
        <w:ind w:left="1656"/>
        <w:jc w:val="both"/>
        <w:rPr>
          <w:lang w:val="en-GB"/>
        </w:rPr>
      </w:pPr>
      <w:r w:rsidRPr="00AC5560">
        <w:rPr>
          <w:b/>
          <w:bCs/>
          <w:lang w:val="en-GB"/>
        </w:rPr>
        <w:t>Initial investment cost</w:t>
      </w:r>
      <w:r w:rsidRPr="00AC5560">
        <w:rPr>
          <w:lang w:val="en-GB"/>
        </w:rPr>
        <w:t xml:space="preserve">, that corresponds to the cost effectively incurred by the promoter to build and start operation of the concerned infrastructure. CAPEX </w:t>
      </w:r>
      <w:r>
        <w:rPr>
          <w:lang w:val="en-GB"/>
        </w:rPr>
        <w:t>will</w:t>
      </w:r>
      <w:r w:rsidRPr="00AC5560">
        <w:rPr>
          <w:lang w:val="en-GB"/>
        </w:rPr>
        <w:t xml:space="preserve"> consider the costs related to obtaining permits, feas</w:t>
      </w:r>
      <w:r>
        <w:rPr>
          <w:lang w:val="en-GB"/>
        </w:rPr>
        <w:t>i</w:t>
      </w:r>
      <w:r w:rsidRPr="00AC5560">
        <w:rPr>
          <w:lang w:val="en-GB"/>
        </w:rPr>
        <w:t>bil</w:t>
      </w:r>
      <w:r>
        <w:rPr>
          <w:lang w:val="en-GB"/>
        </w:rPr>
        <w:t>i</w:t>
      </w:r>
      <w:r w:rsidRPr="00AC5560">
        <w:rPr>
          <w:lang w:val="en-GB"/>
        </w:rPr>
        <w:t xml:space="preserve">ty studies, obtaining rights-of-way, groundwork, preparatory work, designing, equipment purchase, equipment installation and </w:t>
      </w:r>
      <w:proofErr w:type="gramStart"/>
      <w:r w:rsidRPr="00AC5560">
        <w:rPr>
          <w:lang w:val="en-GB"/>
        </w:rPr>
        <w:t>decommissioning</w:t>
      </w:r>
      <w:r>
        <w:rPr>
          <w:lang w:val="en-GB"/>
        </w:rPr>
        <w:t>;</w:t>
      </w:r>
      <w:proofErr w:type="gramEnd"/>
    </w:p>
    <w:p w14:paraId="4C69225B" w14:textId="77777777" w:rsidR="00A0359F" w:rsidRPr="00E840FA" w:rsidRDefault="00A0359F" w:rsidP="00A0359F">
      <w:pPr>
        <w:pStyle w:val="ListParagraph"/>
        <w:numPr>
          <w:ilvl w:val="0"/>
          <w:numId w:val="24"/>
        </w:numPr>
        <w:spacing w:after="0" w:line="276" w:lineRule="auto"/>
        <w:ind w:left="1656"/>
        <w:jc w:val="both"/>
        <w:rPr>
          <w:lang w:val="en-GB"/>
        </w:rPr>
      </w:pPr>
      <w:r w:rsidRPr="00E758BE">
        <w:rPr>
          <w:b/>
          <w:bCs/>
          <w:lang w:val="en-GB"/>
        </w:rPr>
        <w:t xml:space="preserve">CAPEX of purchase of materials </w:t>
      </w:r>
      <w:r w:rsidRPr="00B517DA">
        <w:rPr>
          <w:lang w:val="en-GB"/>
        </w:rPr>
        <w:t>(e.g. pipelines, compressors),</w:t>
      </w:r>
      <w:r w:rsidRPr="00E758BE">
        <w:rPr>
          <w:b/>
          <w:bCs/>
          <w:lang w:val="en-GB"/>
        </w:rPr>
        <w:t xml:space="preserve"> </w:t>
      </w:r>
      <w:r w:rsidRPr="00E840FA">
        <w:rPr>
          <w:lang w:val="en-GB"/>
        </w:rPr>
        <w:t>and</w:t>
      </w:r>
    </w:p>
    <w:p w14:paraId="76557A35" w14:textId="319A0EB1" w:rsidR="00A0359F" w:rsidRPr="004172CE" w:rsidRDefault="00A0359F" w:rsidP="00A0359F">
      <w:pPr>
        <w:pStyle w:val="ListParagraph"/>
        <w:numPr>
          <w:ilvl w:val="0"/>
          <w:numId w:val="24"/>
        </w:numPr>
        <w:spacing w:after="0" w:line="276" w:lineRule="auto"/>
        <w:ind w:left="1656"/>
        <w:jc w:val="both"/>
        <w:rPr>
          <w:lang w:val="en-GB"/>
        </w:rPr>
      </w:pPr>
      <w:r w:rsidRPr="00E758BE">
        <w:rPr>
          <w:b/>
          <w:bCs/>
          <w:lang w:val="en-GB"/>
        </w:rPr>
        <w:t>CAPEX of construction works</w:t>
      </w:r>
      <w:r w:rsidR="00E840FA">
        <w:rPr>
          <w:b/>
          <w:bCs/>
          <w:lang w:val="en-GB"/>
        </w:rPr>
        <w:t>.</w:t>
      </w:r>
    </w:p>
    <w:p w14:paraId="28A740D1" w14:textId="5635E4C5" w:rsidR="004172CE" w:rsidRPr="004172CE" w:rsidRDefault="004172CE" w:rsidP="004172CE">
      <w:pPr>
        <w:tabs>
          <w:tab w:val="left" w:pos="907"/>
        </w:tabs>
        <w:autoSpaceDE w:val="0"/>
        <w:autoSpaceDN w:val="0"/>
        <w:adjustRightInd w:val="0"/>
        <w:spacing w:after="120" w:line="240" w:lineRule="auto"/>
        <w:ind w:left="709"/>
        <w:jc w:val="both"/>
        <w:rPr>
          <w:rFonts w:ascii="Calibri" w:hAnsi="Calibri"/>
          <w:lang w:val="en-GB"/>
        </w:rPr>
      </w:pPr>
      <w:r w:rsidRPr="004172CE">
        <w:rPr>
          <w:rFonts w:ascii="Calibri" w:hAnsi="Calibri"/>
          <w:lang w:val="en-GB"/>
        </w:rPr>
        <w:t xml:space="preserve">The scalability of required compressor stations and their capacities over the time horizon (2035, 2040 and 2050) will be </w:t>
      </w:r>
      <w:r w:rsidR="003906FB">
        <w:rPr>
          <w:rFonts w:ascii="Calibri" w:hAnsi="Calibri"/>
          <w:lang w:val="en-GB"/>
        </w:rPr>
        <w:t>provided from the technical study</w:t>
      </w:r>
      <w:r w:rsidRPr="004172CE">
        <w:rPr>
          <w:rFonts w:ascii="Calibri" w:hAnsi="Calibri"/>
          <w:lang w:val="en-GB"/>
        </w:rPr>
        <w:t>.</w:t>
      </w:r>
    </w:p>
    <w:p w14:paraId="0B9FE276" w14:textId="1068554D" w:rsidR="005039F2" w:rsidRDefault="005B19A3" w:rsidP="00B517DA">
      <w:pPr>
        <w:pStyle w:val="ListParagraph"/>
        <w:numPr>
          <w:ilvl w:val="0"/>
          <w:numId w:val="27"/>
        </w:numPr>
        <w:tabs>
          <w:tab w:val="left" w:pos="907"/>
        </w:tabs>
        <w:autoSpaceDE w:val="0"/>
        <w:autoSpaceDN w:val="0"/>
        <w:adjustRightInd w:val="0"/>
        <w:spacing w:after="120" w:line="240" w:lineRule="auto"/>
        <w:ind w:left="993"/>
        <w:contextualSpacing w:val="0"/>
        <w:jc w:val="both"/>
        <w:rPr>
          <w:lang w:val="en-GB"/>
        </w:rPr>
      </w:pPr>
      <w:r>
        <w:rPr>
          <w:b/>
          <w:bCs/>
          <w:lang w:val="en-GB"/>
        </w:rPr>
        <w:t>Operational</w:t>
      </w:r>
      <w:r w:rsidR="00175BE6">
        <w:rPr>
          <w:b/>
          <w:bCs/>
          <w:lang w:val="en-GB"/>
        </w:rPr>
        <w:t xml:space="preserve"> and maintenance expenditure (</w:t>
      </w:r>
      <w:r w:rsidR="008356B4" w:rsidRPr="00D83D35">
        <w:rPr>
          <w:b/>
          <w:bCs/>
          <w:lang w:val="en-GB"/>
        </w:rPr>
        <w:t>OPEX</w:t>
      </w:r>
      <w:r w:rsidR="00175BE6" w:rsidRPr="008551CD">
        <w:rPr>
          <w:b/>
          <w:bCs/>
          <w:lang w:val="en-GB"/>
        </w:rPr>
        <w:t>)</w:t>
      </w:r>
      <w:r w:rsidR="00F6729A" w:rsidRPr="00B517DA">
        <w:rPr>
          <w:b/>
          <w:bCs/>
          <w:lang w:val="en-GB"/>
        </w:rPr>
        <w:t xml:space="preserve"> </w:t>
      </w:r>
      <w:r w:rsidR="00F6729A" w:rsidRPr="00B517DA">
        <w:rPr>
          <w:lang w:val="en-GB"/>
        </w:rPr>
        <w:t>corresponds to costs that are incurred after the commissioning of an asset and which are not of an investment nature, such as direct operating and</w:t>
      </w:r>
      <w:r w:rsidR="00F6729A" w:rsidRPr="00F6729A">
        <w:rPr>
          <w:lang w:val="en-GB"/>
        </w:rPr>
        <w:t xml:space="preserve"> maintenance costs, administra</w:t>
      </w:r>
      <w:r w:rsidR="00F6729A">
        <w:rPr>
          <w:lang w:val="en-GB"/>
        </w:rPr>
        <w:t>tive</w:t>
      </w:r>
      <w:r w:rsidR="00F6729A" w:rsidRPr="00F6729A">
        <w:rPr>
          <w:lang w:val="en-GB"/>
        </w:rPr>
        <w:t xml:space="preserve"> and general expen</w:t>
      </w:r>
      <w:r w:rsidR="00F6729A">
        <w:rPr>
          <w:lang w:val="en-GB"/>
        </w:rPr>
        <w:t>ditures, etc.</w:t>
      </w:r>
      <w:r w:rsidR="00086240">
        <w:rPr>
          <w:lang w:val="en-GB"/>
        </w:rPr>
        <w:t xml:space="preserve"> </w:t>
      </w:r>
      <w:r w:rsidR="00BE03C6">
        <w:rPr>
          <w:lang w:val="en-GB"/>
        </w:rPr>
        <w:t>OPEX</w:t>
      </w:r>
      <w:r w:rsidR="00297D9C" w:rsidRPr="00F6729A">
        <w:rPr>
          <w:b/>
          <w:bCs/>
          <w:lang w:val="en-GB"/>
        </w:rPr>
        <w:t xml:space="preserve"> </w:t>
      </w:r>
      <w:r w:rsidR="00297D9C" w:rsidRPr="00F6729A">
        <w:rPr>
          <w:lang w:val="en-GB"/>
        </w:rPr>
        <w:t>est</w:t>
      </w:r>
      <w:r w:rsidR="003A6037" w:rsidRPr="00F6729A">
        <w:rPr>
          <w:lang w:val="en-GB"/>
        </w:rPr>
        <w:t>imate</w:t>
      </w:r>
      <w:r w:rsidR="004E67BC" w:rsidRPr="00D83D35">
        <w:rPr>
          <w:lang w:val="en-GB"/>
        </w:rPr>
        <w:t xml:space="preserve"> will be</w:t>
      </w:r>
      <w:r w:rsidR="000A3338" w:rsidRPr="00D83D35">
        <w:rPr>
          <w:lang w:val="en-GB"/>
        </w:rPr>
        <w:t xml:space="preserve"> </w:t>
      </w:r>
      <w:r w:rsidR="005039F2">
        <w:rPr>
          <w:lang w:val="en-GB"/>
        </w:rPr>
        <w:t xml:space="preserve">assessed and </w:t>
      </w:r>
      <w:r w:rsidR="000A3338" w:rsidRPr="00D83D35">
        <w:rPr>
          <w:lang w:val="en-GB"/>
        </w:rPr>
        <w:t>provided by the Service provider</w:t>
      </w:r>
      <w:r w:rsidR="00D83D35" w:rsidRPr="00D83D35">
        <w:rPr>
          <w:lang w:val="en-GB"/>
        </w:rPr>
        <w:t>.</w:t>
      </w:r>
      <w:r w:rsidR="00B31E4D">
        <w:rPr>
          <w:lang w:val="en-GB"/>
        </w:rPr>
        <w:t xml:space="preserve"> </w:t>
      </w:r>
    </w:p>
    <w:p w14:paraId="634EFADA" w14:textId="6059DCBF" w:rsidR="008551CD" w:rsidRPr="005039F2" w:rsidRDefault="005039F2" w:rsidP="005039F2">
      <w:pPr>
        <w:tabs>
          <w:tab w:val="left" w:pos="907"/>
        </w:tabs>
        <w:autoSpaceDE w:val="0"/>
        <w:autoSpaceDN w:val="0"/>
        <w:adjustRightInd w:val="0"/>
        <w:spacing w:after="120" w:line="240" w:lineRule="auto"/>
        <w:ind w:left="709"/>
        <w:jc w:val="both"/>
        <w:rPr>
          <w:rFonts w:ascii="Calibri" w:hAnsi="Calibri" w:cs="Calibri"/>
          <w:lang w:val="en-GB"/>
        </w:rPr>
      </w:pPr>
      <w:r>
        <w:rPr>
          <w:rFonts w:ascii="Calibri" w:hAnsi="Calibri"/>
          <w:lang w:val="en-GB"/>
        </w:rPr>
        <w:t>T</w:t>
      </w:r>
      <w:r w:rsidR="008551CD" w:rsidRPr="005039F2">
        <w:rPr>
          <w:rFonts w:ascii="Calibri" w:hAnsi="Calibri"/>
          <w:lang w:val="en-GB"/>
        </w:rPr>
        <w:t>he cost estimates should be consistent with recognised investment valuation standards and be tailored to country specifics as much as possible. The application of generic European cost factors should be avoided whenever possible.</w:t>
      </w:r>
    </w:p>
    <w:p w14:paraId="3A7EBCC3" w14:textId="773185CF" w:rsidR="00EB4C6C" w:rsidRPr="00F43E33" w:rsidRDefault="00EB4C6C" w:rsidP="00734ADD">
      <w:pPr>
        <w:pStyle w:val="ListParagraph"/>
        <w:spacing w:after="0" w:line="276" w:lineRule="auto"/>
        <w:ind w:left="1134"/>
        <w:jc w:val="both"/>
        <w:rPr>
          <w:lang w:val="en-US"/>
        </w:rPr>
      </w:pPr>
    </w:p>
    <w:p w14:paraId="4F722FEA" w14:textId="2DE1CE0F" w:rsidR="00C01501" w:rsidRPr="00D609E1" w:rsidRDefault="00D609E1" w:rsidP="009B4F6B">
      <w:pPr>
        <w:pStyle w:val="ListParagraph"/>
        <w:spacing w:after="0" w:line="276" w:lineRule="auto"/>
        <w:ind w:left="0"/>
        <w:jc w:val="both"/>
        <w:rPr>
          <w:rFonts w:cstheme="minorHAnsi"/>
          <w:lang w:val="en-GB"/>
        </w:rPr>
      </w:pPr>
      <w:r w:rsidRPr="009C01AD">
        <w:rPr>
          <w:rFonts w:cstheme="minorHAnsi"/>
          <w:lang w:val="en-GB"/>
        </w:rPr>
        <w:t xml:space="preserve">Task </w:t>
      </w:r>
      <w:r w:rsidR="00833D87">
        <w:rPr>
          <w:rFonts w:cstheme="minorHAnsi"/>
          <w:lang w:val="en-GB"/>
        </w:rPr>
        <w:t>2</w:t>
      </w:r>
      <w:r w:rsidRPr="009C01AD">
        <w:rPr>
          <w:rFonts w:cstheme="minorHAnsi"/>
          <w:lang w:val="en-GB"/>
        </w:rPr>
        <w:t xml:space="preserve">. </w:t>
      </w:r>
      <w:r w:rsidRPr="00C626FA">
        <w:rPr>
          <w:rFonts w:cstheme="minorHAnsi"/>
          <w:b/>
          <w:bCs/>
          <w:lang w:val="en-GB"/>
        </w:rPr>
        <w:t>Business model for Lithuania’s section</w:t>
      </w:r>
      <w:r w:rsidR="00A54D49">
        <w:rPr>
          <w:rFonts w:cstheme="minorHAnsi"/>
          <w:lang w:val="en-GB"/>
        </w:rPr>
        <w:t>:</w:t>
      </w:r>
    </w:p>
    <w:p w14:paraId="3A49E24D" w14:textId="2E580769" w:rsidR="00C67CC7" w:rsidRDefault="0065246A" w:rsidP="002537A9">
      <w:pPr>
        <w:pStyle w:val="ListParagraph"/>
        <w:numPr>
          <w:ilvl w:val="0"/>
          <w:numId w:val="29"/>
        </w:numPr>
        <w:spacing w:after="0" w:line="276" w:lineRule="auto"/>
        <w:ind w:left="1134"/>
        <w:jc w:val="both"/>
        <w:rPr>
          <w:lang w:val="en-GB"/>
        </w:rPr>
      </w:pPr>
      <w:r>
        <w:rPr>
          <w:lang w:val="en-GB"/>
        </w:rPr>
        <w:t>Develop</w:t>
      </w:r>
      <w:r w:rsidRPr="0077504B">
        <w:rPr>
          <w:lang w:val="en-GB"/>
        </w:rPr>
        <w:t xml:space="preserve"> </w:t>
      </w:r>
      <w:r w:rsidR="0F05991C" w:rsidRPr="002537A9">
        <w:rPr>
          <w:lang w:val="en-GB"/>
        </w:rPr>
        <w:t xml:space="preserve">relevant </w:t>
      </w:r>
      <w:r w:rsidR="4398FC61" w:rsidRPr="002537A9">
        <w:rPr>
          <w:lang w:val="en-GB"/>
        </w:rPr>
        <w:t>tariff</w:t>
      </w:r>
      <w:r w:rsidR="0F05991C" w:rsidRPr="002537A9">
        <w:rPr>
          <w:lang w:val="en-GB"/>
        </w:rPr>
        <w:t xml:space="preserve"> models</w:t>
      </w:r>
      <w:r w:rsidR="0F05991C" w:rsidRPr="0077504B">
        <w:rPr>
          <w:lang w:val="en-GB"/>
        </w:rPr>
        <w:t xml:space="preserve"> based on the principles defined in the applicable EU legislation for hydrogen transmission networks. If no EU Network Code exists at the time of this </w:t>
      </w:r>
      <w:r w:rsidR="0023166C">
        <w:rPr>
          <w:lang w:val="en-GB"/>
        </w:rPr>
        <w:t>Analys</w:t>
      </w:r>
      <w:r w:rsidR="009A6283">
        <w:rPr>
          <w:lang w:val="en-GB"/>
        </w:rPr>
        <w:t>i</w:t>
      </w:r>
      <w:r w:rsidR="0023166C">
        <w:rPr>
          <w:lang w:val="en-GB"/>
        </w:rPr>
        <w:t>s</w:t>
      </w:r>
      <w:r w:rsidR="0023166C" w:rsidRPr="0077504B">
        <w:rPr>
          <w:lang w:val="en-GB"/>
        </w:rPr>
        <w:t xml:space="preserve"> </w:t>
      </w:r>
      <w:r w:rsidR="0F05991C" w:rsidRPr="0077504B">
        <w:rPr>
          <w:lang w:val="en-GB"/>
        </w:rPr>
        <w:t>that addresses harmonized tariff structures for hydrogen network access, the EU and national legislation relevant to tariffs for access to the natural gas transmission network should be applied</w:t>
      </w:r>
      <w:r w:rsidR="002C399B" w:rsidRPr="0077504B">
        <w:rPr>
          <w:lang w:val="en-GB"/>
        </w:rPr>
        <w:t xml:space="preserve">. </w:t>
      </w:r>
      <w:r w:rsidR="002F4A16" w:rsidRPr="0077504B">
        <w:rPr>
          <w:lang w:val="en-GB"/>
        </w:rPr>
        <w:t xml:space="preserve">Relevant </w:t>
      </w:r>
      <w:r w:rsidR="007D7D03" w:rsidRPr="0077504B">
        <w:rPr>
          <w:lang w:val="en-GB"/>
        </w:rPr>
        <w:t>tariff models</w:t>
      </w:r>
      <w:r w:rsidR="00D3388E" w:rsidRPr="0077504B">
        <w:rPr>
          <w:lang w:val="en-GB"/>
        </w:rPr>
        <w:t xml:space="preserve"> </w:t>
      </w:r>
      <w:r w:rsidR="00700277" w:rsidRPr="0077504B">
        <w:rPr>
          <w:lang w:val="en-GB"/>
        </w:rPr>
        <w:t>will</w:t>
      </w:r>
      <w:r w:rsidR="007D7D03" w:rsidRPr="0077504B">
        <w:rPr>
          <w:lang w:val="en-GB"/>
        </w:rPr>
        <w:t xml:space="preserve"> be</w:t>
      </w:r>
      <w:r w:rsidR="0088757F" w:rsidRPr="0077504B">
        <w:rPr>
          <w:lang w:val="en-GB"/>
        </w:rPr>
        <w:t xml:space="preserve"> </w:t>
      </w:r>
      <w:r w:rsidR="00EE5EB7" w:rsidRPr="0077504B">
        <w:rPr>
          <w:lang w:val="en-GB"/>
        </w:rPr>
        <w:t xml:space="preserve">assessed </w:t>
      </w:r>
      <w:r w:rsidR="007D7D03" w:rsidRPr="0077504B">
        <w:rPr>
          <w:lang w:val="en-GB"/>
        </w:rPr>
        <w:t xml:space="preserve">to determine the optimal approach that ensures the </w:t>
      </w:r>
      <w:r w:rsidR="00D3388E" w:rsidRPr="0077504B">
        <w:rPr>
          <w:lang w:val="en-GB"/>
        </w:rPr>
        <w:t xml:space="preserve">Lithuania’s section </w:t>
      </w:r>
      <w:r w:rsidR="00957E58" w:rsidRPr="0077504B">
        <w:rPr>
          <w:lang w:val="en-GB"/>
        </w:rPr>
        <w:t xml:space="preserve">of </w:t>
      </w:r>
      <w:r w:rsidR="008511F3" w:rsidRPr="0077504B">
        <w:rPr>
          <w:lang w:val="en-GB"/>
        </w:rPr>
        <w:t>NBHC</w:t>
      </w:r>
      <w:r w:rsidR="007D7D03" w:rsidRPr="0077504B">
        <w:rPr>
          <w:lang w:val="en-GB"/>
        </w:rPr>
        <w:t xml:space="preserve"> financial viability </w:t>
      </w:r>
      <w:r w:rsidR="00A54D49" w:rsidRPr="0077504B" w:rsidDel="00700277">
        <w:rPr>
          <w:lang w:val="en-GB"/>
        </w:rPr>
        <w:t>aiming to</w:t>
      </w:r>
      <w:r w:rsidR="00A54D49" w:rsidRPr="0077504B" w:rsidDel="007D7D03">
        <w:rPr>
          <w:lang w:val="en-GB"/>
        </w:rPr>
        <w:t xml:space="preserve"> set </w:t>
      </w:r>
      <w:r w:rsidR="00A54D49" w:rsidRPr="0077504B">
        <w:rPr>
          <w:lang w:val="en-GB"/>
        </w:rPr>
        <w:t>tariff level</w:t>
      </w:r>
      <w:r w:rsidR="00AA0FB9">
        <w:rPr>
          <w:lang w:val="en-GB"/>
        </w:rPr>
        <w:t>.</w:t>
      </w:r>
    </w:p>
    <w:p w14:paraId="34793EFA" w14:textId="2D0BF7BE" w:rsidR="000F2770" w:rsidRDefault="000F2770" w:rsidP="002537A9">
      <w:pPr>
        <w:pStyle w:val="ListParagraph"/>
        <w:numPr>
          <w:ilvl w:val="0"/>
          <w:numId w:val="29"/>
        </w:numPr>
        <w:spacing w:after="0" w:line="276" w:lineRule="auto"/>
        <w:ind w:left="1134"/>
        <w:jc w:val="both"/>
        <w:rPr>
          <w:lang w:val="en-GB"/>
        </w:rPr>
      </w:pPr>
      <w:r w:rsidRPr="000F2770">
        <w:rPr>
          <w:lang w:val="en-GB"/>
        </w:rPr>
        <w:t xml:space="preserve">Calculate the </w:t>
      </w:r>
      <w:r w:rsidRPr="00137AF8">
        <w:rPr>
          <w:lang w:val="en-GB"/>
        </w:rPr>
        <w:t>preliminary tariffs</w:t>
      </w:r>
      <w:r w:rsidRPr="000F2770">
        <w:rPr>
          <w:lang w:val="en-GB"/>
        </w:rPr>
        <w:t xml:space="preserve"> for hydrogen network access, including tariffs at </w:t>
      </w:r>
      <w:r w:rsidR="2BC1BC9B" w:rsidRPr="6E5C04CC">
        <w:rPr>
          <w:lang w:val="en-GB"/>
        </w:rPr>
        <w:t xml:space="preserve">cross-border </w:t>
      </w:r>
      <w:r w:rsidRPr="000F2770">
        <w:rPr>
          <w:lang w:val="en-GB"/>
        </w:rPr>
        <w:t xml:space="preserve">interconnection points. </w:t>
      </w:r>
      <w:r w:rsidR="000E7DFF">
        <w:rPr>
          <w:lang w:val="en-GB"/>
        </w:rPr>
        <w:t>The Service provider will</w:t>
      </w:r>
      <w:r w:rsidR="000E7DFF" w:rsidRPr="000F2770">
        <w:rPr>
          <w:lang w:val="en-GB"/>
        </w:rPr>
        <w:t xml:space="preserve"> </w:t>
      </w:r>
      <w:r w:rsidRPr="000F2770">
        <w:rPr>
          <w:lang w:val="en-GB"/>
        </w:rPr>
        <w:t xml:space="preserve">conduct </w:t>
      </w:r>
      <w:r w:rsidR="000E7DFF">
        <w:rPr>
          <w:lang w:val="en-GB"/>
        </w:rPr>
        <w:t xml:space="preserve">a </w:t>
      </w:r>
      <w:r w:rsidRPr="000F2770">
        <w:rPr>
          <w:lang w:val="en-GB"/>
        </w:rPr>
        <w:t>consultation on tariff models and concrete tariffs</w:t>
      </w:r>
      <w:r w:rsidR="00931E9A">
        <w:rPr>
          <w:lang w:val="en-GB"/>
        </w:rPr>
        <w:t xml:space="preserve"> </w:t>
      </w:r>
      <w:r w:rsidRPr="000F2770">
        <w:rPr>
          <w:lang w:val="en-GB"/>
        </w:rPr>
        <w:t xml:space="preserve">with the Lithuanian national </w:t>
      </w:r>
      <w:r w:rsidR="31B56B0A" w:rsidRPr="51E14E7A">
        <w:rPr>
          <w:lang w:val="en-GB"/>
        </w:rPr>
        <w:t xml:space="preserve">energy </w:t>
      </w:r>
      <w:r w:rsidRPr="51E14E7A">
        <w:rPr>
          <w:lang w:val="en-GB"/>
        </w:rPr>
        <w:t>regulatory</w:t>
      </w:r>
      <w:r w:rsidRPr="000F2770">
        <w:rPr>
          <w:lang w:val="en-GB"/>
        </w:rPr>
        <w:t xml:space="preserve"> authority </w:t>
      </w:r>
      <w:proofErr w:type="gramStart"/>
      <w:r w:rsidRPr="000F2770">
        <w:rPr>
          <w:lang w:val="en-GB"/>
        </w:rPr>
        <w:t>VERT</w:t>
      </w:r>
      <w:r w:rsidR="00CE5020">
        <w:rPr>
          <w:lang w:val="en-GB"/>
        </w:rPr>
        <w:t>;</w:t>
      </w:r>
      <w:proofErr w:type="gramEnd"/>
    </w:p>
    <w:p w14:paraId="68660C10" w14:textId="0FA3F425" w:rsidR="00AA2F18" w:rsidRPr="00D84BE4" w:rsidRDefault="00AA2F18" w:rsidP="002537A9">
      <w:pPr>
        <w:pStyle w:val="ListParagraph"/>
        <w:numPr>
          <w:ilvl w:val="0"/>
          <w:numId w:val="29"/>
        </w:numPr>
        <w:spacing w:after="0" w:line="276" w:lineRule="auto"/>
        <w:ind w:left="1134"/>
        <w:jc w:val="both"/>
        <w:rPr>
          <w:lang w:val="en-GB"/>
        </w:rPr>
      </w:pPr>
      <w:r w:rsidRPr="00D84BE4">
        <w:rPr>
          <w:lang w:val="en-GB"/>
        </w:rPr>
        <w:t xml:space="preserve">Support through measures envisaged in the European and national regulatory regimes, such as Intertemporal Cost Allocation shall be taken into </w:t>
      </w:r>
      <w:proofErr w:type="gramStart"/>
      <w:r w:rsidRPr="00D84BE4">
        <w:rPr>
          <w:lang w:val="en-GB"/>
        </w:rPr>
        <w:t>account</w:t>
      </w:r>
      <w:r w:rsidR="00CE5020" w:rsidRPr="00D84BE4">
        <w:rPr>
          <w:lang w:val="en-GB"/>
        </w:rPr>
        <w:t>;</w:t>
      </w:r>
      <w:proofErr w:type="gramEnd"/>
    </w:p>
    <w:p w14:paraId="14265AF1" w14:textId="02210856" w:rsidR="000905F9" w:rsidRPr="00333C73" w:rsidRDefault="00552A29" w:rsidP="002537A9">
      <w:pPr>
        <w:pStyle w:val="ListParagraph"/>
        <w:numPr>
          <w:ilvl w:val="0"/>
          <w:numId w:val="29"/>
        </w:numPr>
        <w:spacing w:after="0" w:line="276" w:lineRule="auto"/>
        <w:ind w:left="1134"/>
        <w:jc w:val="both"/>
        <w:rPr>
          <w:lang w:val="en-GB"/>
        </w:rPr>
      </w:pPr>
      <w:r w:rsidRPr="00D84BE4">
        <w:rPr>
          <w:lang w:val="en-GB"/>
        </w:rPr>
        <w:t>Determine willingness to pay</w:t>
      </w:r>
      <w:r w:rsidR="007C1130" w:rsidRPr="00D84BE4">
        <w:rPr>
          <w:lang w:val="en-GB"/>
        </w:rPr>
        <w:t xml:space="preserve"> (WTP)</w:t>
      </w:r>
      <w:r w:rsidR="00931E9A" w:rsidRPr="00D84BE4">
        <w:rPr>
          <w:lang w:val="en-GB"/>
        </w:rPr>
        <w:t>. The</w:t>
      </w:r>
      <w:r w:rsidR="00931E9A">
        <w:rPr>
          <w:lang w:val="en-GB"/>
        </w:rPr>
        <w:t xml:space="preserve"> Service provider will </w:t>
      </w:r>
      <w:r w:rsidR="001B0621" w:rsidRPr="00137AF8">
        <w:rPr>
          <w:lang w:val="en-GB"/>
        </w:rPr>
        <w:t xml:space="preserve">suggest </w:t>
      </w:r>
      <w:r w:rsidR="00931E9A">
        <w:rPr>
          <w:lang w:val="en-GB"/>
        </w:rPr>
        <w:t xml:space="preserve">relevant </w:t>
      </w:r>
      <w:r w:rsidR="001B0621" w:rsidRPr="00137AF8">
        <w:rPr>
          <w:lang w:val="en-GB"/>
        </w:rPr>
        <w:t xml:space="preserve">methodology and coordinate with Amber </w:t>
      </w:r>
      <w:proofErr w:type="gramStart"/>
      <w:r w:rsidR="001B0621" w:rsidRPr="00137AF8">
        <w:rPr>
          <w:lang w:val="en-GB"/>
        </w:rPr>
        <w:t>Grid</w:t>
      </w:r>
      <w:r w:rsidRPr="00137AF8">
        <w:rPr>
          <w:lang w:val="en-GB"/>
        </w:rPr>
        <w:t>;</w:t>
      </w:r>
      <w:proofErr w:type="gramEnd"/>
    </w:p>
    <w:p w14:paraId="0801B85A" w14:textId="6F8819A2" w:rsidR="005C510C" w:rsidRDefault="007D25C2" w:rsidP="002537A9">
      <w:pPr>
        <w:pStyle w:val="ListParagraph"/>
        <w:numPr>
          <w:ilvl w:val="0"/>
          <w:numId w:val="29"/>
        </w:numPr>
        <w:spacing w:after="0" w:line="276" w:lineRule="auto"/>
        <w:ind w:left="1134"/>
        <w:jc w:val="both"/>
        <w:rPr>
          <w:lang w:val="en-GB"/>
        </w:rPr>
      </w:pPr>
      <w:r w:rsidRPr="3A3DCCEA">
        <w:rPr>
          <w:lang w:val="en-GB"/>
        </w:rPr>
        <w:t xml:space="preserve">Design a business model, including </w:t>
      </w:r>
      <w:r w:rsidR="00EE5EB7" w:rsidRPr="3A3DCCEA">
        <w:rPr>
          <w:lang w:val="en-GB"/>
        </w:rPr>
        <w:t xml:space="preserve">possible </w:t>
      </w:r>
      <w:r w:rsidRPr="3A3DCCEA">
        <w:rPr>
          <w:lang w:val="en-GB"/>
        </w:rPr>
        <w:t xml:space="preserve">products to be </w:t>
      </w:r>
      <w:r w:rsidR="00EE5EB7" w:rsidRPr="3A3DCCEA">
        <w:rPr>
          <w:lang w:val="en-GB"/>
        </w:rPr>
        <w:t>offered to</w:t>
      </w:r>
      <w:r w:rsidRPr="3A3DCCEA">
        <w:rPr>
          <w:lang w:val="en-GB"/>
        </w:rPr>
        <w:t xml:space="preserve"> generat</w:t>
      </w:r>
      <w:r w:rsidR="00EE5EB7" w:rsidRPr="3A3DCCEA">
        <w:rPr>
          <w:lang w:val="en-GB"/>
        </w:rPr>
        <w:t>e</w:t>
      </w:r>
      <w:r w:rsidRPr="3A3DCCEA">
        <w:rPr>
          <w:lang w:val="en-GB"/>
        </w:rPr>
        <w:t xml:space="preserve"> revenue</w:t>
      </w:r>
      <w:r w:rsidR="00437BCA">
        <w:rPr>
          <w:lang w:val="en-GB"/>
        </w:rPr>
        <w:t>.</w:t>
      </w:r>
      <w:r w:rsidR="005C510C" w:rsidRPr="3A3DCCEA">
        <w:rPr>
          <w:lang w:val="en-GB"/>
        </w:rPr>
        <w:t xml:space="preserve"> </w:t>
      </w:r>
      <w:r w:rsidR="005C510C" w:rsidRPr="002537A9">
        <w:rPr>
          <w:lang w:val="en-GB"/>
        </w:rPr>
        <w:t>Revenue model</w:t>
      </w:r>
      <w:r w:rsidR="005C510C">
        <w:rPr>
          <w:lang w:val="en-GB"/>
        </w:rPr>
        <w:t xml:space="preserve"> will include hydrogen transit volumes via NBHC from Finland towards Poland and Germany</w:t>
      </w:r>
      <w:r w:rsidR="00454E85">
        <w:rPr>
          <w:lang w:val="en-GB"/>
        </w:rPr>
        <w:t>. The injection and withdr</w:t>
      </w:r>
      <w:r w:rsidR="00B71CFB">
        <w:rPr>
          <w:lang w:val="en-GB"/>
        </w:rPr>
        <w:t xml:space="preserve">awal volumes </w:t>
      </w:r>
      <w:r w:rsidR="2C0DBC31" w:rsidRPr="02E3E4E3">
        <w:rPr>
          <w:lang w:val="en-GB"/>
        </w:rPr>
        <w:t xml:space="preserve">in Lithuania </w:t>
      </w:r>
      <w:r w:rsidR="00B71CFB">
        <w:rPr>
          <w:lang w:val="en-GB"/>
        </w:rPr>
        <w:t xml:space="preserve">will be </w:t>
      </w:r>
      <w:r w:rsidR="007C1130">
        <w:rPr>
          <w:lang w:val="en-GB"/>
        </w:rPr>
        <w:t xml:space="preserve">taken into </w:t>
      </w:r>
      <w:proofErr w:type="gramStart"/>
      <w:r w:rsidR="007C1130">
        <w:rPr>
          <w:lang w:val="en-GB"/>
        </w:rPr>
        <w:t>account</w:t>
      </w:r>
      <w:r w:rsidR="00CE5020">
        <w:rPr>
          <w:lang w:val="en-GB"/>
        </w:rPr>
        <w:t>;</w:t>
      </w:r>
      <w:proofErr w:type="gramEnd"/>
    </w:p>
    <w:p w14:paraId="7B375F10" w14:textId="05F6FE58" w:rsidR="007D25C2" w:rsidRDefault="001B6C0A" w:rsidP="002537A9">
      <w:pPr>
        <w:pStyle w:val="ListParagraph"/>
        <w:numPr>
          <w:ilvl w:val="0"/>
          <w:numId w:val="29"/>
        </w:numPr>
        <w:spacing w:after="0" w:line="276" w:lineRule="auto"/>
        <w:ind w:left="1134"/>
        <w:jc w:val="both"/>
        <w:rPr>
          <w:lang w:val="en-GB"/>
        </w:rPr>
      </w:pPr>
      <w:r w:rsidRPr="3D2EFA0E">
        <w:rPr>
          <w:lang w:val="en-GB"/>
        </w:rPr>
        <w:t xml:space="preserve">Define indicative </w:t>
      </w:r>
      <w:r w:rsidR="4D42B2B5" w:rsidRPr="330E86A4">
        <w:rPr>
          <w:lang w:val="en-GB"/>
        </w:rPr>
        <w:t xml:space="preserve">hydrogen </w:t>
      </w:r>
      <w:r w:rsidRPr="330E86A4">
        <w:rPr>
          <w:lang w:val="en-GB"/>
        </w:rPr>
        <w:t>volume</w:t>
      </w:r>
      <w:r w:rsidRPr="3D2EFA0E">
        <w:rPr>
          <w:lang w:val="en-GB"/>
        </w:rPr>
        <w:t xml:space="preserve"> commitments</w:t>
      </w:r>
      <w:r w:rsidR="006219E2">
        <w:rPr>
          <w:lang w:val="en-GB"/>
        </w:rPr>
        <w:t xml:space="preserve"> or capacities</w:t>
      </w:r>
      <w:r w:rsidRPr="3D2EFA0E">
        <w:rPr>
          <w:lang w:val="en-GB"/>
        </w:rPr>
        <w:t xml:space="preserve"> on national level</w:t>
      </w:r>
      <w:r w:rsidR="00150EEF">
        <w:rPr>
          <w:lang w:val="en-GB"/>
        </w:rPr>
        <w:t xml:space="preserve"> </w:t>
      </w:r>
      <w:r w:rsidR="006219E2">
        <w:rPr>
          <w:lang w:val="en-GB"/>
        </w:rPr>
        <w:t xml:space="preserve">sufficient to cover all </w:t>
      </w:r>
      <w:r w:rsidR="007E73D7">
        <w:rPr>
          <w:lang w:val="en-GB"/>
        </w:rPr>
        <w:t xml:space="preserve">relevant </w:t>
      </w:r>
      <w:r w:rsidR="006219E2">
        <w:rPr>
          <w:lang w:val="en-GB"/>
        </w:rPr>
        <w:t>costs</w:t>
      </w:r>
      <w:r w:rsidRPr="3D2EFA0E">
        <w:rPr>
          <w:lang w:val="en-GB"/>
        </w:rPr>
        <w:t xml:space="preserve"> </w:t>
      </w:r>
      <w:r w:rsidR="00F92F72" w:rsidRPr="000E7DFF">
        <w:rPr>
          <w:lang w:val="en-GB"/>
        </w:rPr>
        <w:t xml:space="preserve">based on </w:t>
      </w:r>
      <w:r w:rsidR="00F92F72" w:rsidRPr="00137AF8">
        <w:rPr>
          <w:lang w:val="en-GB"/>
        </w:rPr>
        <w:t>market testing</w:t>
      </w:r>
      <w:r w:rsidR="000F638F">
        <w:rPr>
          <w:lang w:val="en-GB"/>
        </w:rPr>
        <w:t>, i</w:t>
      </w:r>
      <w:r w:rsidR="009852FF">
        <w:rPr>
          <w:lang w:val="en-GB"/>
        </w:rPr>
        <w:t>nclud</w:t>
      </w:r>
      <w:r w:rsidR="000F638F">
        <w:rPr>
          <w:lang w:val="en-GB"/>
        </w:rPr>
        <w:t>ing</w:t>
      </w:r>
      <w:r w:rsidR="009852FF">
        <w:rPr>
          <w:lang w:val="en-GB"/>
        </w:rPr>
        <w:t xml:space="preserve"> </w:t>
      </w:r>
      <w:r w:rsidR="00D05CF8">
        <w:rPr>
          <w:lang w:val="en-GB"/>
        </w:rPr>
        <w:t>W</w:t>
      </w:r>
      <w:r w:rsidR="000F638F">
        <w:rPr>
          <w:lang w:val="en-GB"/>
        </w:rPr>
        <w:t>TP level.</w:t>
      </w:r>
      <w:r w:rsidRPr="3D2EFA0E">
        <w:rPr>
          <w:lang w:val="en-GB"/>
        </w:rPr>
        <w:t xml:space="preserve"> Utilise these for understanding supply and demand volumes, profiles, locations and timeline</w:t>
      </w:r>
      <w:r w:rsidR="00750D72" w:rsidRPr="3D2EFA0E">
        <w:rPr>
          <w:lang w:val="en-GB"/>
        </w:rPr>
        <w:t>,</w:t>
      </w:r>
    </w:p>
    <w:p w14:paraId="1646E858" w14:textId="7A63AE85" w:rsidR="007D25C2" w:rsidRPr="005C510C" w:rsidRDefault="007D25C2" w:rsidP="002537A9">
      <w:pPr>
        <w:pStyle w:val="ListParagraph"/>
        <w:numPr>
          <w:ilvl w:val="0"/>
          <w:numId w:val="29"/>
        </w:numPr>
        <w:spacing w:after="0" w:line="276" w:lineRule="auto"/>
        <w:ind w:left="1134"/>
        <w:jc w:val="both"/>
        <w:rPr>
          <w:lang w:val="en-GB"/>
        </w:rPr>
      </w:pPr>
      <w:r w:rsidRPr="005C510C">
        <w:rPr>
          <w:lang w:val="en-GB"/>
        </w:rPr>
        <w:t>De</w:t>
      </w:r>
      <w:r w:rsidR="008C4F13">
        <w:rPr>
          <w:lang w:val="en-GB"/>
        </w:rPr>
        <w:t>v</w:t>
      </w:r>
      <w:r w:rsidR="00D01B68">
        <w:rPr>
          <w:lang w:val="en-GB"/>
        </w:rPr>
        <w:t>e</w:t>
      </w:r>
      <w:r w:rsidR="008C4F13">
        <w:rPr>
          <w:lang w:val="en-GB"/>
        </w:rPr>
        <w:t>lop</w:t>
      </w:r>
      <w:r w:rsidRPr="005C510C">
        <w:rPr>
          <w:lang w:val="en-GB"/>
        </w:rPr>
        <w:t xml:space="preserve"> preliminary terms </w:t>
      </w:r>
      <w:r w:rsidR="00BE2914">
        <w:rPr>
          <w:lang w:val="en-GB"/>
        </w:rPr>
        <w:t xml:space="preserve">and </w:t>
      </w:r>
      <w:r w:rsidR="00C1536C">
        <w:rPr>
          <w:lang w:val="en-GB"/>
        </w:rPr>
        <w:t>conditions</w:t>
      </w:r>
      <w:r w:rsidR="00BE2914">
        <w:rPr>
          <w:lang w:val="en-GB"/>
        </w:rPr>
        <w:t xml:space="preserve">, including </w:t>
      </w:r>
      <w:r w:rsidR="00932EBC">
        <w:rPr>
          <w:lang w:val="en-GB"/>
        </w:rPr>
        <w:t>line pack</w:t>
      </w:r>
      <w:r w:rsidR="00E10881">
        <w:rPr>
          <w:lang w:val="en-GB"/>
        </w:rPr>
        <w:t xml:space="preserve"> flexibility, </w:t>
      </w:r>
      <w:r w:rsidRPr="005C510C">
        <w:rPr>
          <w:lang w:val="en-GB"/>
        </w:rPr>
        <w:t>under which the network user will</w:t>
      </w:r>
      <w:r w:rsidR="00554C1F">
        <w:rPr>
          <w:lang w:val="en-GB"/>
        </w:rPr>
        <w:t xml:space="preserve"> get a </w:t>
      </w:r>
      <w:r w:rsidR="000905F9">
        <w:rPr>
          <w:lang w:val="en-GB"/>
        </w:rPr>
        <w:t>connection to</w:t>
      </w:r>
      <w:r w:rsidRPr="005C510C">
        <w:rPr>
          <w:lang w:val="en-GB"/>
        </w:rPr>
        <w:t xml:space="preserve"> the NBHC. </w:t>
      </w:r>
    </w:p>
    <w:p w14:paraId="1D20B21C" w14:textId="77777777" w:rsidR="00833D87" w:rsidRDefault="00833D87" w:rsidP="00105C0F">
      <w:pPr>
        <w:pStyle w:val="ListParagraph"/>
        <w:spacing w:after="0" w:line="276" w:lineRule="auto"/>
        <w:ind w:left="709"/>
        <w:jc w:val="both"/>
        <w:rPr>
          <w:rFonts w:cstheme="minorHAnsi"/>
          <w:lang w:val="en-GB"/>
        </w:rPr>
      </w:pPr>
    </w:p>
    <w:p w14:paraId="464CFBEC" w14:textId="59F795AD" w:rsidR="00C01501" w:rsidRDefault="00105C0F" w:rsidP="009B4F6B">
      <w:pPr>
        <w:pStyle w:val="ListParagraph"/>
        <w:spacing w:after="0" w:line="276" w:lineRule="auto"/>
        <w:ind w:left="0"/>
        <w:jc w:val="both"/>
        <w:rPr>
          <w:rFonts w:cstheme="minorHAnsi"/>
          <w:b/>
          <w:bCs/>
          <w:lang w:val="en-GB"/>
        </w:rPr>
      </w:pPr>
      <w:r w:rsidRPr="009C01AD">
        <w:rPr>
          <w:rFonts w:cstheme="minorHAnsi"/>
          <w:lang w:val="en-GB"/>
        </w:rPr>
        <w:t xml:space="preserve">Task </w:t>
      </w:r>
      <w:r w:rsidR="00833D87">
        <w:rPr>
          <w:rFonts w:cstheme="minorHAnsi"/>
          <w:lang w:val="en-GB"/>
        </w:rPr>
        <w:t>3</w:t>
      </w:r>
      <w:r w:rsidRPr="00C626FA">
        <w:rPr>
          <w:rFonts w:cstheme="minorHAnsi"/>
          <w:b/>
          <w:bCs/>
          <w:lang w:val="en-GB"/>
        </w:rPr>
        <w:t>. Financial modelling</w:t>
      </w:r>
    </w:p>
    <w:p w14:paraId="0DB6CB40" w14:textId="14FD16A0" w:rsidR="00F103E7" w:rsidRPr="00320706" w:rsidRDefault="00E539DB" w:rsidP="009B4F6B">
      <w:pPr>
        <w:pStyle w:val="ListParagraph"/>
        <w:numPr>
          <w:ilvl w:val="0"/>
          <w:numId w:val="32"/>
        </w:numPr>
        <w:tabs>
          <w:tab w:val="left" w:pos="907"/>
        </w:tabs>
        <w:autoSpaceDE w:val="0"/>
        <w:autoSpaceDN w:val="0"/>
        <w:adjustRightInd w:val="0"/>
        <w:spacing w:after="120" w:line="240" w:lineRule="auto"/>
        <w:ind w:left="1134"/>
        <w:contextualSpacing w:val="0"/>
        <w:jc w:val="both"/>
        <w:rPr>
          <w:rFonts w:ascii="Calibri" w:hAnsi="Calibri" w:cs="Calibri"/>
          <w:lang w:val="en-GB"/>
        </w:rPr>
      </w:pPr>
      <w:r w:rsidRPr="00F103E7">
        <w:rPr>
          <w:lang w:val="en-GB"/>
        </w:rPr>
        <w:t xml:space="preserve">Calculate cash inflows and outflows over the </w:t>
      </w:r>
      <w:r w:rsidR="00B2740A" w:rsidRPr="00F103E7">
        <w:rPr>
          <w:lang w:val="en-GB"/>
        </w:rPr>
        <w:t xml:space="preserve">Lithuania’s section </w:t>
      </w:r>
      <w:r w:rsidR="00B2740A" w:rsidRPr="00C567BF">
        <w:rPr>
          <w:lang w:val="en-GB"/>
        </w:rPr>
        <w:t>of NBHC</w:t>
      </w:r>
      <w:r w:rsidRPr="00C567BF">
        <w:rPr>
          <w:lang w:val="en-GB"/>
        </w:rPr>
        <w:t xml:space="preserve"> lif</w:t>
      </w:r>
      <w:r w:rsidR="006E584D" w:rsidRPr="00C567BF">
        <w:rPr>
          <w:lang w:val="en-GB"/>
        </w:rPr>
        <w:t xml:space="preserve">etime of the </w:t>
      </w:r>
      <w:r w:rsidR="00B925C2" w:rsidRPr="00C567BF">
        <w:rPr>
          <w:lang w:val="en-GB"/>
        </w:rPr>
        <w:t>asset</w:t>
      </w:r>
      <w:r w:rsidR="00086B50" w:rsidRPr="00C567BF">
        <w:rPr>
          <w:lang w:val="en-GB"/>
        </w:rPr>
        <w:t>s</w:t>
      </w:r>
      <w:r w:rsidR="00E47B8D" w:rsidRPr="00C567BF">
        <w:rPr>
          <w:lang w:val="en-GB"/>
        </w:rPr>
        <w:t xml:space="preserve">, including </w:t>
      </w:r>
      <w:r w:rsidR="00C508B0" w:rsidRPr="00C567BF">
        <w:rPr>
          <w:lang w:val="en-GB"/>
        </w:rPr>
        <w:t>2035, 2040 and 2050</w:t>
      </w:r>
      <w:r w:rsidR="00F103E7" w:rsidRPr="00C567BF">
        <w:rPr>
          <w:rFonts w:ascii="Calibri" w:hAnsi="Calibri"/>
          <w:lang w:val="en-GB"/>
        </w:rPr>
        <w:t>.</w:t>
      </w:r>
      <w:r w:rsidR="00F103E7" w:rsidRPr="00320706">
        <w:rPr>
          <w:rFonts w:ascii="Calibri" w:hAnsi="Calibri"/>
          <w:lang w:val="en-GB"/>
        </w:rPr>
        <w:t xml:space="preserve"> Development of a profit and loss balance, cash flow and balance sheet for all years covered by the financial </w:t>
      </w:r>
      <w:proofErr w:type="gramStart"/>
      <w:r w:rsidR="00F103E7" w:rsidRPr="00320706">
        <w:rPr>
          <w:rFonts w:ascii="Calibri" w:hAnsi="Calibri"/>
          <w:lang w:val="en-GB"/>
        </w:rPr>
        <w:t>analysis</w:t>
      </w:r>
      <w:r w:rsidR="00FE6358">
        <w:rPr>
          <w:rFonts w:ascii="Calibri" w:hAnsi="Calibri"/>
          <w:lang w:val="en-GB"/>
        </w:rPr>
        <w:t>;</w:t>
      </w:r>
      <w:proofErr w:type="gramEnd"/>
    </w:p>
    <w:p w14:paraId="65D25591" w14:textId="534C475F" w:rsidR="00E539DB" w:rsidRPr="00320706" w:rsidRDefault="00E539DB" w:rsidP="009B4F6B">
      <w:pPr>
        <w:pStyle w:val="ListParagraph"/>
        <w:numPr>
          <w:ilvl w:val="0"/>
          <w:numId w:val="32"/>
        </w:numPr>
        <w:tabs>
          <w:tab w:val="left" w:pos="907"/>
        </w:tabs>
        <w:autoSpaceDE w:val="0"/>
        <w:autoSpaceDN w:val="0"/>
        <w:adjustRightInd w:val="0"/>
        <w:spacing w:after="120" w:line="240" w:lineRule="auto"/>
        <w:ind w:left="1134"/>
        <w:contextualSpacing w:val="0"/>
        <w:jc w:val="both"/>
        <w:rPr>
          <w:rFonts w:ascii="Calibri" w:hAnsi="Calibri"/>
          <w:lang w:val="en-GB"/>
        </w:rPr>
      </w:pPr>
      <w:r w:rsidRPr="00320706">
        <w:rPr>
          <w:rFonts w:ascii="Calibri" w:hAnsi="Calibri"/>
          <w:lang w:val="en-GB"/>
        </w:rPr>
        <w:t xml:space="preserve">Create a comprehensive financial model to evaluate </w:t>
      </w:r>
      <w:proofErr w:type="gramStart"/>
      <w:r w:rsidR="001805EE" w:rsidRPr="00320706">
        <w:rPr>
          <w:rFonts w:ascii="Calibri" w:hAnsi="Calibri"/>
          <w:lang w:val="en-GB"/>
        </w:rPr>
        <w:t>Lithuania‘</w:t>
      </w:r>
      <w:proofErr w:type="gramEnd"/>
      <w:r w:rsidR="001805EE" w:rsidRPr="00320706">
        <w:rPr>
          <w:rFonts w:ascii="Calibri" w:hAnsi="Calibri"/>
          <w:lang w:val="en-GB"/>
        </w:rPr>
        <w:t>s section</w:t>
      </w:r>
      <w:r w:rsidRPr="00320706">
        <w:rPr>
          <w:rFonts w:ascii="Calibri" w:hAnsi="Calibri"/>
          <w:lang w:val="en-GB"/>
        </w:rPr>
        <w:t xml:space="preserve"> profitability including payback period, return on investment (ROI), net present value (NPV), and internal rate of return (IRR)</w:t>
      </w:r>
      <w:r w:rsidR="00750D72" w:rsidRPr="00320706">
        <w:rPr>
          <w:rFonts w:ascii="Calibri" w:hAnsi="Calibri"/>
          <w:lang w:val="en-GB"/>
        </w:rPr>
        <w:t>,</w:t>
      </w:r>
    </w:p>
    <w:p w14:paraId="197FD5A7" w14:textId="305AFA87" w:rsidR="00F53A1D" w:rsidRPr="00320706" w:rsidRDefault="00F53A1D" w:rsidP="009B4F6B">
      <w:pPr>
        <w:pStyle w:val="ListParagraph"/>
        <w:numPr>
          <w:ilvl w:val="0"/>
          <w:numId w:val="32"/>
        </w:numPr>
        <w:tabs>
          <w:tab w:val="left" w:pos="907"/>
        </w:tabs>
        <w:autoSpaceDE w:val="0"/>
        <w:autoSpaceDN w:val="0"/>
        <w:adjustRightInd w:val="0"/>
        <w:spacing w:after="120" w:line="240" w:lineRule="auto"/>
        <w:ind w:left="1134"/>
        <w:contextualSpacing w:val="0"/>
        <w:jc w:val="both"/>
        <w:rPr>
          <w:rFonts w:ascii="Calibri" w:hAnsi="Calibri"/>
          <w:lang w:val="en-GB"/>
        </w:rPr>
      </w:pPr>
      <w:r w:rsidRPr="00320706">
        <w:rPr>
          <w:rFonts w:ascii="Calibri" w:hAnsi="Calibri"/>
          <w:lang w:val="en-GB"/>
        </w:rPr>
        <w:t>Identification of potential funding gap</w:t>
      </w:r>
      <w:r w:rsidR="00750D72" w:rsidRPr="00320706">
        <w:rPr>
          <w:rFonts w:ascii="Calibri" w:hAnsi="Calibri"/>
          <w:lang w:val="en-GB"/>
        </w:rPr>
        <w:t>,</w:t>
      </w:r>
    </w:p>
    <w:p w14:paraId="2D2F0D31" w14:textId="2D49DFEA" w:rsidR="005B0B9B" w:rsidRPr="00320706" w:rsidRDefault="005B0B9B" w:rsidP="009B4F6B">
      <w:pPr>
        <w:pStyle w:val="ListParagraph"/>
        <w:numPr>
          <w:ilvl w:val="0"/>
          <w:numId w:val="32"/>
        </w:numPr>
        <w:tabs>
          <w:tab w:val="left" w:pos="907"/>
        </w:tabs>
        <w:autoSpaceDE w:val="0"/>
        <w:autoSpaceDN w:val="0"/>
        <w:adjustRightInd w:val="0"/>
        <w:spacing w:after="120" w:line="240" w:lineRule="auto"/>
        <w:ind w:left="1134"/>
        <w:contextualSpacing w:val="0"/>
        <w:jc w:val="both"/>
        <w:rPr>
          <w:rFonts w:ascii="Calibri" w:hAnsi="Calibri"/>
          <w:lang w:val="en-GB"/>
        </w:rPr>
      </w:pPr>
      <w:r w:rsidRPr="00320706">
        <w:rPr>
          <w:rFonts w:ascii="Calibri" w:hAnsi="Calibri"/>
          <w:lang w:val="en-GB"/>
        </w:rPr>
        <w:t xml:space="preserve">Recommend preliminary principles </w:t>
      </w:r>
      <w:r w:rsidR="61336723" w:rsidRPr="00320706">
        <w:rPr>
          <w:rFonts w:ascii="Calibri" w:hAnsi="Calibri"/>
          <w:lang w:val="en-GB"/>
        </w:rPr>
        <w:t xml:space="preserve">and parameters </w:t>
      </w:r>
      <w:r w:rsidRPr="00320706">
        <w:rPr>
          <w:rFonts w:ascii="Calibri" w:hAnsi="Calibri"/>
          <w:lang w:val="en-GB"/>
        </w:rPr>
        <w:t>for WACC calculation</w:t>
      </w:r>
      <w:r w:rsidR="00D63C2C" w:rsidRPr="00320706">
        <w:rPr>
          <w:rFonts w:ascii="Calibri" w:hAnsi="Calibri"/>
          <w:lang w:val="en-GB"/>
        </w:rPr>
        <w:t xml:space="preserve"> </w:t>
      </w:r>
      <w:r w:rsidR="00144F0D" w:rsidRPr="00320706">
        <w:rPr>
          <w:rFonts w:ascii="Calibri" w:hAnsi="Calibri"/>
          <w:lang w:val="en-GB"/>
        </w:rPr>
        <w:t xml:space="preserve">to </w:t>
      </w:r>
      <w:r w:rsidR="00D63C2C" w:rsidRPr="00320706">
        <w:rPr>
          <w:rFonts w:ascii="Calibri" w:hAnsi="Calibri"/>
          <w:lang w:val="en-GB"/>
        </w:rPr>
        <w:t>be able to ad</w:t>
      </w:r>
      <w:r w:rsidR="00144F0D" w:rsidRPr="00320706">
        <w:rPr>
          <w:rFonts w:ascii="Calibri" w:hAnsi="Calibri"/>
          <w:lang w:val="en-GB"/>
        </w:rPr>
        <w:t>apt</w:t>
      </w:r>
      <w:r w:rsidR="00F53A1D" w:rsidRPr="00320706">
        <w:rPr>
          <w:rFonts w:ascii="Calibri" w:hAnsi="Calibri"/>
          <w:lang w:val="en-GB"/>
        </w:rPr>
        <w:t xml:space="preserve"> for</w:t>
      </w:r>
      <w:r w:rsidR="00144F0D" w:rsidRPr="00320706">
        <w:rPr>
          <w:rFonts w:ascii="Calibri" w:hAnsi="Calibri"/>
          <w:lang w:val="en-GB"/>
        </w:rPr>
        <w:t xml:space="preserve"> hydrogen transportation </w:t>
      </w:r>
      <w:r w:rsidR="00D075CE" w:rsidRPr="00320706">
        <w:rPr>
          <w:rFonts w:ascii="Calibri" w:hAnsi="Calibri"/>
          <w:lang w:val="en-GB"/>
        </w:rPr>
        <w:t>purposes</w:t>
      </w:r>
      <w:r w:rsidR="006B3891" w:rsidRPr="00320706">
        <w:rPr>
          <w:rFonts w:ascii="Calibri" w:hAnsi="Calibri"/>
          <w:lang w:val="en-GB"/>
        </w:rPr>
        <w:t xml:space="preserve"> (</w:t>
      </w:r>
      <w:r w:rsidR="00D63C2C" w:rsidRPr="00320706">
        <w:rPr>
          <w:rFonts w:ascii="Calibri" w:hAnsi="Calibri"/>
          <w:lang w:val="en-GB"/>
        </w:rPr>
        <w:t>assess the</w:t>
      </w:r>
      <w:r w:rsidR="00697B10" w:rsidRPr="00320706">
        <w:rPr>
          <w:rFonts w:ascii="Calibri" w:hAnsi="Calibri"/>
          <w:lang w:val="en-GB"/>
        </w:rPr>
        <w:t xml:space="preserve"> difference </w:t>
      </w:r>
      <w:r w:rsidR="00690E6F" w:rsidRPr="00320706">
        <w:rPr>
          <w:rFonts w:ascii="Calibri" w:hAnsi="Calibri"/>
          <w:lang w:val="en-GB"/>
        </w:rPr>
        <w:t>to compare with nat</w:t>
      </w:r>
      <w:r w:rsidR="00697B10" w:rsidRPr="00320706">
        <w:rPr>
          <w:rFonts w:ascii="Calibri" w:hAnsi="Calibri"/>
          <w:lang w:val="en-GB"/>
        </w:rPr>
        <w:t>ural gas sector</w:t>
      </w:r>
      <w:r w:rsidR="009517BE" w:rsidRPr="00320706">
        <w:rPr>
          <w:rFonts w:ascii="Calibri" w:hAnsi="Calibri"/>
          <w:lang w:val="en-GB"/>
        </w:rPr>
        <w:t xml:space="preserve">, </w:t>
      </w:r>
      <w:hyperlink r:id="rId14" w:history="1">
        <w:r w:rsidR="00CE7B6B" w:rsidRPr="00B517DA">
          <w:rPr>
            <w:rFonts w:ascii="Calibri" w:hAnsi="Calibri"/>
            <w:i/>
            <w:iCs/>
            <w:lang w:val="en-GB"/>
          </w:rPr>
          <w:t xml:space="preserve">O3-510 </w:t>
        </w:r>
        <w:r w:rsidR="00CE7B6B" w:rsidRPr="009B4F6B">
          <w:rPr>
            <w:rFonts w:ascii="Calibri" w:hAnsi="Calibri"/>
            <w:i/>
            <w:iCs/>
          </w:rPr>
          <w:t>Dėl Investicijų grąžos normos nustatymo metodikos patvirtinimo</w:t>
        </w:r>
      </w:hyperlink>
      <w:r w:rsidR="00697B10" w:rsidRPr="00320706">
        <w:rPr>
          <w:rFonts w:ascii="Calibri" w:hAnsi="Calibri"/>
          <w:lang w:val="en-GB"/>
        </w:rPr>
        <w:t>)</w:t>
      </w:r>
      <w:r w:rsidR="00273FEE">
        <w:rPr>
          <w:rFonts w:ascii="Calibri" w:hAnsi="Calibri"/>
          <w:lang w:val="en-GB"/>
        </w:rPr>
        <w:t>;</w:t>
      </w:r>
    </w:p>
    <w:p w14:paraId="512994E9" w14:textId="061FE9CE" w:rsidR="00E539DB" w:rsidRPr="00320706" w:rsidRDefault="00E539DB" w:rsidP="009B4F6B">
      <w:pPr>
        <w:pStyle w:val="ListParagraph"/>
        <w:numPr>
          <w:ilvl w:val="0"/>
          <w:numId w:val="32"/>
        </w:numPr>
        <w:tabs>
          <w:tab w:val="left" w:pos="907"/>
        </w:tabs>
        <w:autoSpaceDE w:val="0"/>
        <w:autoSpaceDN w:val="0"/>
        <w:adjustRightInd w:val="0"/>
        <w:spacing w:after="120" w:line="240" w:lineRule="auto"/>
        <w:ind w:left="1134"/>
        <w:contextualSpacing w:val="0"/>
        <w:jc w:val="both"/>
        <w:rPr>
          <w:rFonts w:ascii="Calibri" w:hAnsi="Calibri"/>
          <w:lang w:val="en-GB"/>
        </w:rPr>
      </w:pPr>
      <w:r w:rsidRPr="00320706">
        <w:rPr>
          <w:rFonts w:ascii="Calibri" w:hAnsi="Calibri"/>
          <w:lang w:val="en-GB"/>
        </w:rPr>
        <w:t>Conduct sensitivity analyses to assess the impact of key variables (e.g., cost overruns, demand/supply fluctuations, regulatory changes, potential flexibility implications) on the financial outcomes</w:t>
      </w:r>
      <w:r w:rsidR="00750D72" w:rsidRPr="00320706">
        <w:rPr>
          <w:rFonts w:ascii="Calibri" w:hAnsi="Calibri"/>
          <w:lang w:val="en-GB"/>
        </w:rPr>
        <w:t>,</w:t>
      </w:r>
    </w:p>
    <w:p w14:paraId="611BFC24" w14:textId="1E528F5F" w:rsidR="00DD03DC" w:rsidRPr="00155FC7" w:rsidRDefault="00E539DB" w:rsidP="009B4F6B">
      <w:pPr>
        <w:pStyle w:val="ListParagraph"/>
        <w:numPr>
          <w:ilvl w:val="0"/>
          <w:numId w:val="32"/>
        </w:numPr>
        <w:autoSpaceDE w:val="0"/>
        <w:autoSpaceDN w:val="0"/>
        <w:adjustRightInd w:val="0"/>
        <w:spacing w:after="120" w:line="240" w:lineRule="auto"/>
        <w:ind w:left="1134" w:hanging="357"/>
        <w:contextualSpacing w:val="0"/>
        <w:jc w:val="both"/>
        <w:rPr>
          <w:rFonts w:ascii="Calibri" w:hAnsi="Calibri" w:cs="Calibri"/>
        </w:rPr>
      </w:pPr>
      <w:r w:rsidRPr="00320706">
        <w:rPr>
          <w:rFonts w:ascii="Calibri" w:hAnsi="Calibri"/>
          <w:lang w:val="en-GB"/>
        </w:rPr>
        <w:t>Determine the level of usage or throughput needed t</w:t>
      </w:r>
      <w:r w:rsidR="00827563" w:rsidRPr="00320706">
        <w:rPr>
          <w:rFonts w:ascii="Calibri" w:hAnsi="Calibri"/>
          <w:lang w:val="en-GB"/>
        </w:rPr>
        <w:t>o</w:t>
      </w:r>
      <w:r w:rsidRPr="00320706">
        <w:rPr>
          <w:rFonts w:ascii="Calibri" w:hAnsi="Calibri"/>
          <w:lang w:val="en-GB"/>
        </w:rPr>
        <w:t xml:space="preserve"> cover all infrastructure costs</w:t>
      </w:r>
      <w:r w:rsidR="00C70B74">
        <w:rPr>
          <w:rFonts w:ascii="Calibri" w:hAnsi="Calibri"/>
          <w:lang w:val="en-GB"/>
        </w:rPr>
        <w:t>.</w:t>
      </w:r>
    </w:p>
    <w:p w14:paraId="73D468AE" w14:textId="77777777" w:rsidR="00C01501" w:rsidRPr="00BB33BA" w:rsidRDefault="00C01501" w:rsidP="0060613B">
      <w:pPr>
        <w:pStyle w:val="ListParagraph"/>
        <w:spacing w:after="0" w:line="276" w:lineRule="auto"/>
        <w:ind w:left="1134"/>
        <w:jc w:val="both"/>
        <w:rPr>
          <w:rFonts w:cstheme="minorHAnsi"/>
          <w:lang w:val="en-GB"/>
        </w:rPr>
      </w:pPr>
    </w:p>
    <w:p w14:paraId="36C0C0E4" w14:textId="46B768B5" w:rsidR="00C01501" w:rsidRPr="00BB33BA" w:rsidRDefault="000F4937" w:rsidP="009B4F6B">
      <w:pPr>
        <w:pStyle w:val="ListParagraph"/>
        <w:spacing w:after="0" w:line="276" w:lineRule="auto"/>
        <w:ind w:left="0"/>
        <w:jc w:val="both"/>
        <w:rPr>
          <w:rFonts w:cstheme="minorHAnsi"/>
          <w:lang w:val="en-GB"/>
        </w:rPr>
      </w:pPr>
      <w:r w:rsidRPr="00BB33BA">
        <w:rPr>
          <w:rFonts w:cstheme="minorHAnsi"/>
          <w:lang w:val="en-GB"/>
        </w:rPr>
        <w:t xml:space="preserve">Task </w:t>
      </w:r>
      <w:r w:rsidR="00833D87">
        <w:rPr>
          <w:rFonts w:cstheme="minorHAnsi"/>
          <w:lang w:val="en-GB"/>
        </w:rPr>
        <w:t>4</w:t>
      </w:r>
      <w:r w:rsidRPr="00BB33BA">
        <w:rPr>
          <w:rFonts w:cstheme="minorHAnsi"/>
          <w:lang w:val="en-GB"/>
        </w:rPr>
        <w:t xml:space="preserve">. </w:t>
      </w:r>
      <w:r w:rsidR="004E1BC1">
        <w:rPr>
          <w:rFonts w:cstheme="minorHAnsi"/>
          <w:b/>
          <w:bCs/>
          <w:lang w:val="en-GB"/>
        </w:rPr>
        <w:t>Cost-benefit</w:t>
      </w:r>
      <w:r w:rsidR="00C01501" w:rsidRPr="00C626FA">
        <w:rPr>
          <w:rFonts w:cstheme="minorHAnsi"/>
          <w:b/>
          <w:bCs/>
          <w:lang w:val="en-GB"/>
        </w:rPr>
        <w:t xml:space="preserve"> </w:t>
      </w:r>
      <w:r w:rsidRPr="00C626FA">
        <w:rPr>
          <w:rFonts w:cstheme="minorHAnsi"/>
          <w:b/>
          <w:bCs/>
          <w:lang w:val="en-GB"/>
        </w:rPr>
        <w:t>analysis (CBA)</w:t>
      </w:r>
    </w:p>
    <w:p w14:paraId="32F4247F" w14:textId="4D64CAF4" w:rsidR="00BC63AB" w:rsidRPr="00320706" w:rsidRDefault="00BC63AB" w:rsidP="009B4F6B">
      <w:pPr>
        <w:pStyle w:val="ListParagraph"/>
        <w:numPr>
          <w:ilvl w:val="0"/>
          <w:numId w:val="33"/>
        </w:numPr>
        <w:tabs>
          <w:tab w:val="left" w:pos="907"/>
        </w:tabs>
        <w:autoSpaceDE w:val="0"/>
        <w:autoSpaceDN w:val="0"/>
        <w:adjustRightInd w:val="0"/>
        <w:spacing w:after="120" w:line="240" w:lineRule="auto"/>
        <w:ind w:left="1134"/>
        <w:contextualSpacing w:val="0"/>
        <w:rPr>
          <w:rFonts w:ascii="Calibri" w:hAnsi="Calibri" w:cs="Calibri"/>
          <w:lang w:val="en-GB"/>
        </w:rPr>
      </w:pPr>
      <w:r w:rsidRPr="00320706">
        <w:rPr>
          <w:rFonts w:ascii="Calibri" w:hAnsi="Calibri"/>
          <w:lang w:val="en-GB"/>
        </w:rPr>
        <w:t>Performance of a comprehensive cost-benefit analysis based on in-house analysis and the CBA methodology adopted by ENTSOG in accordance with Article 11(1) of EU Regulation 2022/869 on guidelines for trans-European energy infrastructure</w:t>
      </w:r>
      <w:r w:rsidRPr="00320706">
        <w:rPr>
          <w:rStyle w:val="FootnoteReference"/>
          <w:rFonts w:ascii="Calibri" w:hAnsi="Calibri" w:cs="Calibri"/>
          <w:lang w:val="en-GB"/>
        </w:rPr>
        <w:footnoteReference w:id="2"/>
      </w:r>
      <w:r w:rsidRPr="00320706">
        <w:rPr>
          <w:rFonts w:ascii="Calibri" w:hAnsi="Calibri"/>
          <w:lang w:val="en-GB"/>
        </w:rPr>
        <w:t>.</w:t>
      </w:r>
    </w:p>
    <w:p w14:paraId="39FB2F99" w14:textId="62D6434F" w:rsidR="0012460F" w:rsidRDefault="008A51F4" w:rsidP="009B4F6B">
      <w:pPr>
        <w:spacing w:line="276" w:lineRule="auto"/>
        <w:ind w:left="1134"/>
        <w:jc w:val="both"/>
        <w:rPr>
          <w:rFonts w:cstheme="minorHAnsi"/>
          <w:lang w:val="en-GB"/>
        </w:rPr>
      </w:pPr>
      <w:hyperlink r:id="rId15" w:history="1">
        <w:r w:rsidRPr="008A51F4">
          <w:rPr>
            <w:rStyle w:val="Hyperlink"/>
            <w:lang w:val="en-GB"/>
          </w:rPr>
          <w:t>https://www.entsog.eu/sites/default/files/2025-02/entsog_CBA_methodolgy_report_250225.pdf</w:t>
        </w:r>
      </w:hyperlink>
      <w:r w:rsidR="003941F1" w:rsidRPr="008A51F4">
        <w:rPr>
          <w:rFonts w:cstheme="minorHAnsi"/>
          <w:lang w:val="en-GB"/>
        </w:rPr>
        <w:t>)</w:t>
      </w:r>
      <w:r w:rsidR="00D27CF6">
        <w:rPr>
          <w:rFonts w:cstheme="minorHAnsi"/>
          <w:lang w:val="en-GB"/>
        </w:rPr>
        <w:t>.</w:t>
      </w:r>
    </w:p>
    <w:p w14:paraId="4E10043C" w14:textId="395D0DBF" w:rsidR="0012460F" w:rsidRPr="0012460F" w:rsidRDefault="0012460F" w:rsidP="009B4F6B">
      <w:pPr>
        <w:pStyle w:val="ListParagraph"/>
        <w:numPr>
          <w:ilvl w:val="0"/>
          <w:numId w:val="33"/>
        </w:numPr>
        <w:spacing w:after="0" w:line="276" w:lineRule="auto"/>
        <w:ind w:left="1134"/>
        <w:jc w:val="both"/>
        <w:rPr>
          <w:rFonts w:cstheme="minorHAnsi"/>
          <w:lang w:val="en-GB"/>
        </w:rPr>
      </w:pPr>
      <w:r w:rsidRPr="0012460F">
        <w:rPr>
          <w:rFonts w:cstheme="minorHAnsi"/>
          <w:lang w:val="en-GB"/>
        </w:rPr>
        <w:t xml:space="preserve">Analyse socio-economic benefits of </w:t>
      </w:r>
      <w:r w:rsidR="00C43F2F">
        <w:rPr>
          <w:rFonts w:cstheme="minorHAnsi"/>
          <w:lang w:val="en-GB"/>
        </w:rPr>
        <w:t>Lithuania’s section</w:t>
      </w:r>
      <w:r w:rsidR="00A42748">
        <w:rPr>
          <w:rFonts w:cstheme="minorHAnsi"/>
          <w:lang w:val="en-GB"/>
        </w:rPr>
        <w:t xml:space="preserve"> of NBHC</w:t>
      </w:r>
      <w:r w:rsidRPr="0012460F">
        <w:rPr>
          <w:rFonts w:cstheme="minorHAnsi"/>
          <w:lang w:val="en-GB"/>
        </w:rPr>
        <w:t>, including</w:t>
      </w:r>
      <w:r w:rsidR="00377583">
        <w:rPr>
          <w:rFonts w:cstheme="minorHAnsi"/>
          <w:lang w:val="en-GB"/>
        </w:rPr>
        <w:t>,</w:t>
      </w:r>
      <w:r w:rsidRPr="0012460F">
        <w:rPr>
          <w:rFonts w:cstheme="minorHAnsi"/>
          <w:lang w:val="en-GB"/>
        </w:rPr>
        <w:t xml:space="preserve"> for instance</w:t>
      </w:r>
      <w:r w:rsidR="00377583">
        <w:rPr>
          <w:rFonts w:cstheme="minorHAnsi"/>
          <w:lang w:val="en-GB"/>
        </w:rPr>
        <w:t>,</w:t>
      </w:r>
      <w:r w:rsidRPr="0012460F">
        <w:rPr>
          <w:rFonts w:cstheme="minorHAnsi"/>
          <w:lang w:val="en-GB"/>
        </w:rPr>
        <w:t xml:space="preserve"> job creation during the construction, operation, </w:t>
      </w:r>
      <w:r w:rsidR="009C18F0" w:rsidRPr="0012460F">
        <w:rPr>
          <w:rFonts w:cstheme="minorHAnsi"/>
          <w:lang w:val="en-GB"/>
        </w:rPr>
        <w:t xml:space="preserve">GDP growth and </w:t>
      </w:r>
      <w:r w:rsidR="009C18F0">
        <w:rPr>
          <w:rFonts w:cstheme="minorHAnsi"/>
          <w:lang w:val="en-GB"/>
        </w:rPr>
        <w:t>impact on the national</w:t>
      </w:r>
      <w:r w:rsidR="009C18F0" w:rsidRPr="0012460F">
        <w:rPr>
          <w:rFonts w:cstheme="minorHAnsi"/>
          <w:lang w:val="en-GB"/>
        </w:rPr>
        <w:t xml:space="preserve"> development</w:t>
      </w:r>
      <w:r w:rsidR="00193847">
        <w:rPr>
          <w:rFonts w:cstheme="minorHAnsi"/>
          <w:lang w:val="en-GB"/>
        </w:rPr>
        <w:t>,</w:t>
      </w:r>
    </w:p>
    <w:p w14:paraId="44C54242" w14:textId="5F3A4665" w:rsidR="00145A59" w:rsidRDefault="0012460F" w:rsidP="009B4F6B">
      <w:pPr>
        <w:pStyle w:val="ListParagraph"/>
        <w:numPr>
          <w:ilvl w:val="0"/>
          <w:numId w:val="33"/>
        </w:numPr>
        <w:spacing w:after="0" w:line="276" w:lineRule="auto"/>
        <w:ind w:left="1134"/>
        <w:jc w:val="both"/>
        <w:rPr>
          <w:rFonts w:cstheme="minorHAnsi"/>
          <w:lang w:val="en-GB"/>
        </w:rPr>
      </w:pPr>
      <w:r w:rsidRPr="0012460F">
        <w:rPr>
          <w:rFonts w:cstheme="minorHAnsi"/>
          <w:lang w:val="en-GB"/>
        </w:rPr>
        <w:t xml:space="preserve">Analyse socio-economic effects of </w:t>
      </w:r>
      <w:r w:rsidR="005A07D6">
        <w:rPr>
          <w:rFonts w:cstheme="minorHAnsi"/>
          <w:lang w:val="en-GB"/>
        </w:rPr>
        <w:t>Lithuania’s section of NBHC</w:t>
      </w:r>
      <w:r w:rsidRPr="0012460F">
        <w:rPr>
          <w:rFonts w:cstheme="minorHAnsi"/>
          <w:lang w:val="en-GB"/>
        </w:rPr>
        <w:t xml:space="preserve"> on rel</w:t>
      </w:r>
      <w:r w:rsidR="00486D90">
        <w:rPr>
          <w:rFonts w:cstheme="minorHAnsi"/>
          <w:lang w:val="en-GB"/>
        </w:rPr>
        <w:t>e</w:t>
      </w:r>
      <w:r w:rsidR="005A07D6">
        <w:rPr>
          <w:rFonts w:cstheme="minorHAnsi"/>
          <w:lang w:val="en-GB"/>
        </w:rPr>
        <w:t>vant</w:t>
      </w:r>
      <w:r w:rsidRPr="0012460F">
        <w:rPr>
          <w:rFonts w:cstheme="minorHAnsi"/>
          <w:lang w:val="en-GB"/>
        </w:rPr>
        <w:t xml:space="preserve"> industries and suppliers</w:t>
      </w:r>
      <w:r w:rsidR="00BC77B0">
        <w:rPr>
          <w:rFonts w:cstheme="minorHAnsi"/>
          <w:lang w:val="en-GB"/>
        </w:rPr>
        <w:t>.</w:t>
      </w:r>
    </w:p>
    <w:p w14:paraId="49E2FF2C" w14:textId="77777777" w:rsidR="00D63DCD" w:rsidRDefault="00D63DCD" w:rsidP="00D63DCD">
      <w:pPr>
        <w:pStyle w:val="ListParagraph"/>
        <w:spacing w:after="0" w:line="276" w:lineRule="auto"/>
        <w:ind w:left="993"/>
        <w:jc w:val="both"/>
        <w:rPr>
          <w:rFonts w:cstheme="minorHAnsi"/>
          <w:b/>
          <w:bCs/>
          <w:lang w:val="en-GB"/>
        </w:rPr>
      </w:pPr>
    </w:p>
    <w:p w14:paraId="4D3B7B71" w14:textId="7CF3E090" w:rsidR="00C01501" w:rsidRPr="004E0233" w:rsidRDefault="004E0233" w:rsidP="001E3310">
      <w:pPr>
        <w:pStyle w:val="ListParagraph"/>
        <w:spacing w:after="0" w:line="276" w:lineRule="auto"/>
        <w:ind w:left="284"/>
        <w:jc w:val="both"/>
        <w:rPr>
          <w:rFonts w:cstheme="minorHAnsi"/>
          <w:lang w:val="en-GB"/>
        </w:rPr>
      </w:pPr>
      <w:r w:rsidRPr="004E0233">
        <w:rPr>
          <w:rFonts w:cstheme="minorHAnsi"/>
          <w:lang w:val="en-GB"/>
        </w:rPr>
        <w:t xml:space="preserve">Task </w:t>
      </w:r>
      <w:r w:rsidR="00833D87">
        <w:rPr>
          <w:rFonts w:cstheme="minorHAnsi"/>
          <w:lang w:val="en-GB"/>
        </w:rPr>
        <w:t>5</w:t>
      </w:r>
      <w:r w:rsidRPr="004E0233">
        <w:rPr>
          <w:rFonts w:cstheme="minorHAnsi"/>
          <w:lang w:val="en-GB"/>
        </w:rPr>
        <w:t xml:space="preserve">. </w:t>
      </w:r>
      <w:r w:rsidR="00C01501" w:rsidRPr="00C626FA">
        <w:rPr>
          <w:rFonts w:cstheme="minorHAnsi"/>
          <w:b/>
          <w:bCs/>
          <w:lang w:val="en-GB"/>
        </w:rPr>
        <w:t>Budget and Financial planning</w:t>
      </w:r>
    </w:p>
    <w:p w14:paraId="7DFB6B60" w14:textId="534C3AFE" w:rsidR="00C01501" w:rsidRPr="001E3310" w:rsidRDefault="004E0233" w:rsidP="00B517DA">
      <w:pPr>
        <w:pStyle w:val="ListParagraph"/>
        <w:numPr>
          <w:ilvl w:val="0"/>
          <w:numId w:val="38"/>
        </w:numPr>
        <w:tabs>
          <w:tab w:val="left" w:pos="907"/>
        </w:tabs>
        <w:autoSpaceDE w:val="0"/>
        <w:autoSpaceDN w:val="0"/>
        <w:adjustRightInd w:val="0"/>
        <w:spacing w:after="120" w:line="240" w:lineRule="auto"/>
        <w:ind w:left="1276"/>
        <w:rPr>
          <w:rFonts w:cstheme="minorHAnsi"/>
          <w:lang w:val="en-GB"/>
        </w:rPr>
      </w:pPr>
      <w:r w:rsidRPr="001E3310">
        <w:rPr>
          <w:rFonts w:ascii="Calibri" w:hAnsi="Calibri"/>
          <w:lang w:val="en-GB"/>
        </w:rPr>
        <w:t>Develop</w:t>
      </w:r>
      <w:r w:rsidR="00C01501" w:rsidRPr="001E3310">
        <w:rPr>
          <w:rFonts w:ascii="Calibri" w:hAnsi="Calibri"/>
          <w:lang w:val="en-GB"/>
        </w:rPr>
        <w:t xml:space="preserve"> a comprehensive budget and financial plan to secure sufficient funding and ensure effective financial management throughout </w:t>
      </w:r>
      <w:r w:rsidR="0016564B" w:rsidRPr="001E3310">
        <w:rPr>
          <w:rFonts w:ascii="Calibri" w:hAnsi="Calibri"/>
          <w:lang w:val="en-GB"/>
        </w:rPr>
        <w:t>Lithuania’s section</w:t>
      </w:r>
      <w:r w:rsidR="00074002" w:rsidRPr="001E3310">
        <w:rPr>
          <w:rFonts w:ascii="Calibri" w:hAnsi="Calibri"/>
          <w:lang w:val="en-GB"/>
        </w:rPr>
        <w:t xml:space="preserve"> of NBHC lifecycle</w:t>
      </w:r>
      <w:r w:rsidR="00C01501" w:rsidRPr="001E3310">
        <w:rPr>
          <w:rFonts w:ascii="Calibri" w:hAnsi="Calibri"/>
          <w:lang w:val="en-GB"/>
        </w:rPr>
        <w:t>. This plan should encompass all projected costs and funding sources, with detailed financial projections to support ongoing budget oversight and resource allocation</w:t>
      </w:r>
      <w:r w:rsidR="00831323" w:rsidRPr="001E3310">
        <w:rPr>
          <w:rFonts w:ascii="Calibri" w:hAnsi="Calibri"/>
          <w:lang w:val="en-GB"/>
        </w:rPr>
        <w:t>:</w:t>
      </w:r>
    </w:p>
    <w:p w14:paraId="21147AD4" w14:textId="6198A210" w:rsidR="00831323" w:rsidRPr="00472A62" w:rsidRDefault="00831323" w:rsidP="00C508B0">
      <w:pPr>
        <w:pStyle w:val="ListParagraph"/>
        <w:numPr>
          <w:ilvl w:val="1"/>
          <w:numId w:val="16"/>
        </w:numPr>
        <w:spacing w:after="0" w:line="276" w:lineRule="auto"/>
        <w:ind w:left="1854"/>
        <w:jc w:val="both"/>
        <w:rPr>
          <w:lang w:val="en-GB"/>
        </w:rPr>
      </w:pPr>
      <w:r w:rsidRPr="00472A62">
        <w:rPr>
          <w:lang w:val="en-GB"/>
        </w:rPr>
        <w:t>Evaluate options and applicability to use</w:t>
      </w:r>
      <w:r w:rsidR="00475A9E">
        <w:rPr>
          <w:lang w:val="en-GB"/>
        </w:rPr>
        <w:t>,</w:t>
      </w:r>
      <w:r w:rsidRPr="00472A62">
        <w:rPr>
          <w:lang w:val="en-GB"/>
        </w:rPr>
        <w:t xml:space="preserve"> e.g.</w:t>
      </w:r>
      <w:r w:rsidR="00B84FF7">
        <w:rPr>
          <w:lang w:val="en-GB"/>
        </w:rPr>
        <w:t>,</w:t>
      </w:r>
      <w:r w:rsidRPr="00472A62">
        <w:rPr>
          <w:lang w:val="en-GB"/>
        </w:rPr>
        <w:t xml:space="preserve"> project finance, corporate debt (through EIB/other) and corporate equity as financing tools</w:t>
      </w:r>
      <w:r w:rsidR="00193847">
        <w:rPr>
          <w:lang w:val="en-GB"/>
        </w:rPr>
        <w:t>,</w:t>
      </w:r>
    </w:p>
    <w:p w14:paraId="29B8E924" w14:textId="07905E69" w:rsidR="00831323" w:rsidRPr="00472A62" w:rsidRDefault="00831323" w:rsidP="00C508B0">
      <w:pPr>
        <w:pStyle w:val="ListParagraph"/>
        <w:numPr>
          <w:ilvl w:val="1"/>
          <w:numId w:val="16"/>
        </w:numPr>
        <w:spacing w:after="0" w:line="276" w:lineRule="auto"/>
        <w:ind w:left="1854"/>
        <w:jc w:val="both"/>
        <w:rPr>
          <w:lang w:val="en-GB"/>
        </w:rPr>
      </w:pPr>
      <w:r w:rsidRPr="00472A62">
        <w:rPr>
          <w:lang w:val="en-GB"/>
        </w:rPr>
        <w:t>Explore existing (and new) public funding mechanisms</w:t>
      </w:r>
      <w:r w:rsidR="00193847">
        <w:rPr>
          <w:lang w:val="en-GB"/>
        </w:rPr>
        <w:t>,</w:t>
      </w:r>
    </w:p>
    <w:p w14:paraId="35D4C08D" w14:textId="48828BBB" w:rsidR="00831323" w:rsidRPr="00472A62" w:rsidRDefault="00831323" w:rsidP="00C508B0">
      <w:pPr>
        <w:pStyle w:val="ListParagraph"/>
        <w:numPr>
          <w:ilvl w:val="1"/>
          <w:numId w:val="16"/>
        </w:numPr>
        <w:spacing w:after="0" w:line="276" w:lineRule="auto"/>
        <w:ind w:left="1854"/>
        <w:jc w:val="both"/>
        <w:rPr>
          <w:lang w:val="en-GB"/>
        </w:rPr>
      </w:pPr>
      <w:r w:rsidRPr="00472A62">
        <w:rPr>
          <w:lang w:val="en-GB"/>
        </w:rPr>
        <w:t>Identify availability of grants, subsidies, state guarantees and low-interest loans from EU initiatives and other sources</w:t>
      </w:r>
      <w:r w:rsidR="00193847">
        <w:rPr>
          <w:lang w:val="en-GB"/>
        </w:rPr>
        <w:t>,</w:t>
      </w:r>
    </w:p>
    <w:p w14:paraId="3DEBBD16" w14:textId="53375781" w:rsidR="00831323" w:rsidRPr="00472A62" w:rsidRDefault="00831323" w:rsidP="00C508B0">
      <w:pPr>
        <w:pStyle w:val="ListParagraph"/>
        <w:numPr>
          <w:ilvl w:val="1"/>
          <w:numId w:val="16"/>
        </w:numPr>
        <w:spacing w:after="0" w:line="276" w:lineRule="auto"/>
        <w:ind w:left="1854"/>
        <w:jc w:val="both"/>
        <w:rPr>
          <w:lang w:val="en-GB"/>
        </w:rPr>
      </w:pPr>
      <w:r w:rsidRPr="00472A62">
        <w:rPr>
          <w:lang w:val="en-GB"/>
        </w:rPr>
        <w:t xml:space="preserve">Identify funding mechanisms best fit for the </w:t>
      </w:r>
      <w:r w:rsidR="00074002">
        <w:rPr>
          <w:lang w:val="en-GB"/>
        </w:rPr>
        <w:t>Lithuania’s section of NBHC</w:t>
      </w:r>
      <w:r w:rsidRPr="00472A62">
        <w:rPr>
          <w:lang w:val="en-GB"/>
        </w:rPr>
        <w:t xml:space="preserve"> purposes</w:t>
      </w:r>
      <w:r w:rsidR="00BE1045">
        <w:rPr>
          <w:lang w:val="en-GB"/>
        </w:rPr>
        <w:t xml:space="preserve"> including </w:t>
      </w:r>
      <w:r w:rsidR="00BE1045">
        <w:rPr>
          <w:rFonts w:cstheme="minorHAnsi"/>
          <w:lang w:val="en-GB"/>
        </w:rPr>
        <w:t>to meet the criteria for sustainable borrowing</w:t>
      </w:r>
      <w:r w:rsidR="00193847">
        <w:rPr>
          <w:lang w:val="en-GB"/>
        </w:rPr>
        <w:t>,</w:t>
      </w:r>
    </w:p>
    <w:p w14:paraId="17C1C2FF" w14:textId="573DAFE7" w:rsidR="00831323" w:rsidRPr="00472A62" w:rsidRDefault="00831323" w:rsidP="00C508B0">
      <w:pPr>
        <w:pStyle w:val="ListParagraph"/>
        <w:numPr>
          <w:ilvl w:val="1"/>
          <w:numId w:val="16"/>
        </w:numPr>
        <w:spacing w:after="0" w:line="276" w:lineRule="auto"/>
        <w:ind w:left="1854"/>
        <w:jc w:val="both"/>
        <w:rPr>
          <w:lang w:val="en-GB"/>
        </w:rPr>
      </w:pPr>
      <w:r w:rsidRPr="00472A62">
        <w:rPr>
          <w:lang w:val="en-GB"/>
        </w:rPr>
        <w:t xml:space="preserve">Conclude a robust financing execution plan for </w:t>
      </w:r>
      <w:r w:rsidR="00AF7A4E">
        <w:rPr>
          <w:lang w:val="en-GB"/>
        </w:rPr>
        <w:t>Lithuania’s section of NBHC</w:t>
      </w:r>
      <w:r w:rsidRPr="00472A62">
        <w:rPr>
          <w:lang w:val="en-GB"/>
        </w:rPr>
        <w:t xml:space="preserve"> development and infrastructure build. </w:t>
      </w:r>
    </w:p>
    <w:p w14:paraId="7F62677B" w14:textId="0BEAC6D8" w:rsidR="00831323" w:rsidRPr="001E3310" w:rsidRDefault="00831323" w:rsidP="001E3310">
      <w:pPr>
        <w:pStyle w:val="ListParagraph"/>
        <w:numPr>
          <w:ilvl w:val="0"/>
          <w:numId w:val="38"/>
        </w:numPr>
        <w:tabs>
          <w:tab w:val="left" w:pos="907"/>
        </w:tabs>
        <w:autoSpaceDE w:val="0"/>
        <w:autoSpaceDN w:val="0"/>
        <w:adjustRightInd w:val="0"/>
        <w:spacing w:after="120" w:line="240" w:lineRule="auto"/>
        <w:ind w:left="993" w:hanging="153"/>
        <w:rPr>
          <w:rFonts w:ascii="Calibri" w:hAnsi="Calibri"/>
          <w:lang w:val="en-GB"/>
        </w:rPr>
      </w:pPr>
      <w:r w:rsidRPr="001E3310">
        <w:rPr>
          <w:rFonts w:ascii="Calibri" w:hAnsi="Calibri"/>
          <w:lang w:val="en-GB"/>
        </w:rPr>
        <w:t xml:space="preserve">Estimate financing costs including interest rates, repayment terms and cost of capital for </w:t>
      </w:r>
      <w:proofErr w:type="gramStart"/>
      <w:r w:rsidRPr="001E3310">
        <w:rPr>
          <w:rFonts w:ascii="Calibri" w:hAnsi="Calibri"/>
          <w:lang w:val="en-GB"/>
        </w:rPr>
        <w:t>Lithuania‘</w:t>
      </w:r>
      <w:proofErr w:type="gramEnd"/>
      <w:r w:rsidRPr="001E3310">
        <w:rPr>
          <w:rFonts w:ascii="Calibri" w:hAnsi="Calibri"/>
          <w:lang w:val="en-GB"/>
        </w:rPr>
        <w:t>s section</w:t>
      </w:r>
      <w:r w:rsidR="00AF7A4E" w:rsidRPr="001E3310">
        <w:rPr>
          <w:rFonts w:ascii="Calibri" w:hAnsi="Calibri"/>
          <w:lang w:val="en-GB"/>
        </w:rPr>
        <w:t xml:space="preserve"> of NBHC</w:t>
      </w:r>
      <w:r w:rsidRPr="001E3310">
        <w:rPr>
          <w:rFonts w:ascii="Calibri" w:hAnsi="Calibri"/>
          <w:lang w:val="en-GB"/>
        </w:rPr>
        <w:t>.</w:t>
      </w:r>
    </w:p>
    <w:p w14:paraId="34F893A4" w14:textId="77777777" w:rsidR="001E3310" w:rsidRDefault="001E3310" w:rsidP="0001524E">
      <w:pPr>
        <w:spacing w:after="0" w:line="276" w:lineRule="auto"/>
        <w:ind w:left="567"/>
        <w:jc w:val="both"/>
        <w:rPr>
          <w:rFonts w:cstheme="minorHAnsi"/>
          <w:lang w:val="en-GB"/>
        </w:rPr>
      </w:pPr>
    </w:p>
    <w:p w14:paraId="3C09D65F" w14:textId="2B63F69C" w:rsidR="00516471" w:rsidRDefault="00516471" w:rsidP="009B4F6B">
      <w:pPr>
        <w:spacing w:after="0" w:line="276" w:lineRule="auto"/>
        <w:jc w:val="both"/>
        <w:rPr>
          <w:rFonts w:cstheme="minorHAnsi"/>
          <w:lang w:val="en-GB"/>
        </w:rPr>
      </w:pPr>
      <w:r>
        <w:rPr>
          <w:rFonts w:cstheme="minorHAnsi"/>
          <w:lang w:val="en-GB"/>
        </w:rPr>
        <w:t>Task 6.</w:t>
      </w:r>
      <w:r w:rsidR="001A2018">
        <w:rPr>
          <w:rFonts w:cstheme="minorHAnsi"/>
          <w:lang w:val="en-GB"/>
        </w:rPr>
        <w:t xml:space="preserve"> </w:t>
      </w:r>
      <w:r w:rsidR="001A2018" w:rsidRPr="001E3310">
        <w:rPr>
          <w:rFonts w:cstheme="minorHAnsi"/>
          <w:b/>
          <w:bCs/>
          <w:lang w:val="en-GB"/>
        </w:rPr>
        <w:t>Risks</w:t>
      </w:r>
    </w:p>
    <w:p w14:paraId="23D93A5D" w14:textId="221EC663" w:rsidR="001A2018" w:rsidRPr="00320706" w:rsidRDefault="00067199" w:rsidP="00F25F9C">
      <w:pPr>
        <w:spacing w:after="0" w:line="276" w:lineRule="auto"/>
        <w:ind w:left="840"/>
        <w:jc w:val="both"/>
        <w:rPr>
          <w:rFonts w:cstheme="minorHAnsi"/>
          <w:lang w:val="en-GB"/>
        </w:rPr>
      </w:pPr>
      <w:r>
        <w:rPr>
          <w:rFonts w:cstheme="minorHAnsi"/>
          <w:lang w:val="en-GB"/>
        </w:rPr>
        <w:t>Develop preliminary list of risks</w:t>
      </w:r>
      <w:r w:rsidR="0001524E">
        <w:rPr>
          <w:rFonts w:cstheme="minorHAnsi"/>
          <w:lang w:val="en-GB"/>
        </w:rPr>
        <w:t>, their probability</w:t>
      </w:r>
      <w:r w:rsidR="00A60D8F">
        <w:rPr>
          <w:rFonts w:cstheme="minorHAnsi"/>
          <w:lang w:val="en-GB"/>
        </w:rPr>
        <w:t>, impact</w:t>
      </w:r>
      <w:r>
        <w:rPr>
          <w:rFonts w:cstheme="minorHAnsi"/>
          <w:lang w:val="en-GB"/>
        </w:rPr>
        <w:t xml:space="preserve"> and mitigation measures.</w:t>
      </w:r>
    </w:p>
    <w:p w14:paraId="4B952458" w14:textId="77777777" w:rsidR="00831323" w:rsidRPr="00CB36C0" w:rsidRDefault="00831323" w:rsidP="00831323">
      <w:pPr>
        <w:pStyle w:val="ListParagraph"/>
        <w:spacing w:after="0" w:line="276" w:lineRule="auto"/>
        <w:ind w:left="993"/>
        <w:jc w:val="both"/>
        <w:rPr>
          <w:rFonts w:cstheme="minorHAnsi"/>
          <w:lang w:val="en-GB"/>
        </w:rPr>
      </w:pPr>
    </w:p>
    <w:p w14:paraId="5EF5EF39" w14:textId="0CE425F3" w:rsidR="00C01501" w:rsidRPr="009D61E8" w:rsidRDefault="00C01501" w:rsidP="004C0440">
      <w:pPr>
        <w:pStyle w:val="ListParagraph"/>
        <w:numPr>
          <w:ilvl w:val="0"/>
          <w:numId w:val="1"/>
        </w:numPr>
        <w:spacing w:after="0" w:line="276" w:lineRule="auto"/>
        <w:jc w:val="both"/>
        <w:rPr>
          <w:rFonts w:cstheme="minorHAnsi"/>
          <w:b/>
          <w:bCs/>
          <w:caps/>
          <w:lang w:val="en-GB"/>
        </w:rPr>
      </w:pPr>
      <w:r w:rsidRPr="009D61E8">
        <w:rPr>
          <w:rFonts w:cstheme="minorHAnsi"/>
          <w:b/>
          <w:bCs/>
          <w:caps/>
          <w:lang w:val="en-GB"/>
        </w:rPr>
        <w:t>DELIVERABLES</w:t>
      </w:r>
    </w:p>
    <w:p w14:paraId="1BE74111" w14:textId="77777777" w:rsidR="00C01501" w:rsidRPr="00CB36C0" w:rsidRDefault="00C01501" w:rsidP="00C01501">
      <w:pPr>
        <w:pStyle w:val="ListParagraph"/>
        <w:spacing w:after="0" w:line="276" w:lineRule="auto"/>
        <w:ind w:left="360"/>
        <w:jc w:val="both"/>
        <w:rPr>
          <w:rFonts w:cstheme="minorHAnsi"/>
          <w:lang w:val="en-GB"/>
        </w:rPr>
      </w:pPr>
    </w:p>
    <w:p w14:paraId="11B7D71C" w14:textId="619A8BEA" w:rsidR="00C01501" w:rsidRPr="00FF6ED7" w:rsidRDefault="00C01501" w:rsidP="00C74B64">
      <w:pPr>
        <w:pStyle w:val="ListParagraph"/>
        <w:spacing w:after="0" w:line="276" w:lineRule="auto"/>
        <w:ind w:left="360"/>
        <w:jc w:val="both"/>
        <w:rPr>
          <w:rFonts w:cstheme="minorHAnsi"/>
          <w:lang w:val="en-GB"/>
        </w:rPr>
      </w:pPr>
      <w:r w:rsidRPr="00CB36C0">
        <w:rPr>
          <w:rFonts w:cstheme="minorHAnsi"/>
          <w:lang w:val="en-GB"/>
        </w:rPr>
        <w:t xml:space="preserve">The conclusions and recommendations, drawn from the </w:t>
      </w:r>
      <w:r w:rsidR="0032363B">
        <w:rPr>
          <w:rFonts w:cstheme="minorHAnsi"/>
          <w:lang w:val="en-GB"/>
        </w:rPr>
        <w:t>A</w:t>
      </w:r>
      <w:r w:rsidRPr="00CB36C0">
        <w:rPr>
          <w:rFonts w:cstheme="minorHAnsi"/>
          <w:lang w:val="en-GB"/>
        </w:rPr>
        <w:t>nalysis</w:t>
      </w:r>
      <w:r w:rsidR="00AF7A4E">
        <w:rPr>
          <w:rFonts w:cstheme="minorHAnsi"/>
          <w:lang w:val="en-GB"/>
        </w:rPr>
        <w:t>’</w:t>
      </w:r>
      <w:r w:rsidRPr="00CB36C0">
        <w:rPr>
          <w:rFonts w:cstheme="minorHAnsi"/>
          <w:lang w:val="en-GB"/>
        </w:rPr>
        <w:t xml:space="preserve"> results must </w:t>
      </w:r>
      <w:r w:rsidR="00010102">
        <w:rPr>
          <w:rFonts w:cstheme="minorHAnsi"/>
          <w:lang w:val="en-GB"/>
        </w:rPr>
        <w:t>provide</w:t>
      </w:r>
      <w:r w:rsidRPr="00CB36C0">
        <w:rPr>
          <w:rFonts w:cstheme="minorHAnsi"/>
          <w:lang w:val="en-GB"/>
        </w:rPr>
        <w:t xml:space="preserve"> a de</w:t>
      </w:r>
      <w:r w:rsidR="00B141A8">
        <w:rPr>
          <w:rFonts w:cstheme="minorHAnsi"/>
          <w:lang w:val="en-GB"/>
        </w:rPr>
        <w:t>tailed</w:t>
      </w:r>
      <w:r w:rsidRPr="00CB36C0">
        <w:rPr>
          <w:rFonts w:cstheme="minorHAnsi"/>
          <w:lang w:val="en-GB"/>
        </w:rPr>
        <w:t xml:space="preserve"> </w:t>
      </w:r>
      <w:r w:rsidR="00BE1045">
        <w:rPr>
          <w:rFonts w:cstheme="minorHAnsi"/>
          <w:lang w:val="en-GB"/>
        </w:rPr>
        <w:t>Analysis</w:t>
      </w:r>
      <w:r w:rsidR="00BE1045" w:rsidRPr="00CB36C0">
        <w:rPr>
          <w:rFonts w:cstheme="minorHAnsi"/>
          <w:lang w:val="en-GB"/>
        </w:rPr>
        <w:t xml:space="preserve"> </w:t>
      </w:r>
      <w:r w:rsidRPr="00CB36C0">
        <w:rPr>
          <w:rFonts w:cstheme="minorHAnsi"/>
          <w:lang w:val="en-GB"/>
        </w:rPr>
        <w:t xml:space="preserve">of </w:t>
      </w:r>
      <w:r w:rsidR="00B47F6A">
        <w:rPr>
          <w:rFonts w:cstheme="minorHAnsi"/>
          <w:lang w:val="en-GB"/>
        </w:rPr>
        <w:t>L</w:t>
      </w:r>
      <w:r w:rsidR="001206F0">
        <w:rPr>
          <w:rFonts w:cstheme="minorHAnsi"/>
          <w:lang w:val="en-GB"/>
        </w:rPr>
        <w:t>ithuania’s section</w:t>
      </w:r>
      <w:r w:rsidR="00AF7A4E">
        <w:rPr>
          <w:rFonts w:cstheme="minorHAnsi"/>
          <w:lang w:val="en-GB"/>
        </w:rPr>
        <w:t xml:space="preserve"> of NBHC</w:t>
      </w:r>
      <w:r w:rsidRPr="00CB36C0">
        <w:rPr>
          <w:rFonts w:cstheme="minorHAnsi"/>
          <w:lang w:val="en-GB"/>
        </w:rPr>
        <w:t xml:space="preserve">, covering essential economic and </w:t>
      </w:r>
      <w:r w:rsidR="00D9066D">
        <w:rPr>
          <w:rFonts w:cstheme="minorHAnsi"/>
          <w:lang w:val="en-GB"/>
        </w:rPr>
        <w:t>financial</w:t>
      </w:r>
      <w:r w:rsidRPr="00CB36C0">
        <w:rPr>
          <w:rFonts w:cstheme="minorHAnsi"/>
          <w:lang w:val="en-GB"/>
        </w:rPr>
        <w:t xml:space="preserve"> factors that establish its feasibility</w:t>
      </w:r>
      <w:r w:rsidR="00191642">
        <w:rPr>
          <w:rFonts w:cstheme="minorHAnsi"/>
          <w:lang w:val="en-GB"/>
        </w:rPr>
        <w:t xml:space="preserve"> and further development</w:t>
      </w:r>
      <w:r w:rsidRPr="00CB36C0">
        <w:rPr>
          <w:rFonts w:cstheme="minorHAnsi"/>
          <w:lang w:val="en-GB"/>
        </w:rPr>
        <w:t>.</w:t>
      </w:r>
      <w:r w:rsidR="00FF6ED7">
        <w:rPr>
          <w:rFonts w:cstheme="minorHAnsi"/>
          <w:lang w:val="en-GB"/>
        </w:rPr>
        <w:t xml:space="preserve"> </w:t>
      </w:r>
    </w:p>
    <w:p w14:paraId="0FE0B2A0" w14:textId="096478E3" w:rsidR="00D9066D" w:rsidRPr="00D9066D" w:rsidRDefault="00D9066D" w:rsidP="00D9066D">
      <w:pPr>
        <w:pStyle w:val="ListParagraph"/>
        <w:spacing w:after="0" w:line="276" w:lineRule="auto"/>
        <w:ind w:left="360"/>
        <w:jc w:val="both"/>
        <w:rPr>
          <w:rFonts w:cstheme="minorHAnsi"/>
          <w:lang w:val="en-GB"/>
        </w:rPr>
      </w:pPr>
      <w:r w:rsidRPr="00D9066D">
        <w:rPr>
          <w:rFonts w:cstheme="minorHAnsi"/>
          <w:lang w:val="en-GB"/>
        </w:rPr>
        <w:t>The following deliverables</w:t>
      </w:r>
      <w:r w:rsidR="00D848F6">
        <w:rPr>
          <w:rFonts w:cstheme="minorHAnsi"/>
          <w:lang w:val="en-GB"/>
        </w:rPr>
        <w:t xml:space="preserve"> (in .ppt, in English)</w:t>
      </w:r>
      <w:r w:rsidRPr="00D9066D">
        <w:rPr>
          <w:rFonts w:cstheme="minorHAnsi"/>
          <w:lang w:val="en-GB"/>
        </w:rPr>
        <w:t xml:space="preserve"> </w:t>
      </w:r>
      <w:r>
        <w:rPr>
          <w:rFonts w:cstheme="minorHAnsi"/>
          <w:lang w:val="en-GB"/>
        </w:rPr>
        <w:t>will be prepared</w:t>
      </w:r>
      <w:r w:rsidRPr="00D9066D">
        <w:rPr>
          <w:rFonts w:cstheme="minorHAnsi"/>
          <w:lang w:val="en-GB"/>
        </w:rPr>
        <w:t>: </w:t>
      </w:r>
    </w:p>
    <w:p w14:paraId="121A1F33" w14:textId="5A01BA84" w:rsidR="00D9066D" w:rsidRPr="00D9066D" w:rsidRDefault="00D9066D" w:rsidP="009B4F6B">
      <w:pPr>
        <w:pStyle w:val="ListParagraph"/>
        <w:numPr>
          <w:ilvl w:val="0"/>
          <w:numId w:val="37"/>
        </w:numPr>
        <w:spacing w:after="0" w:line="276" w:lineRule="auto"/>
        <w:ind w:left="1276"/>
        <w:jc w:val="both"/>
        <w:rPr>
          <w:rFonts w:cstheme="minorHAnsi"/>
          <w:lang w:val="en-GB"/>
        </w:rPr>
      </w:pPr>
      <w:r w:rsidRPr="00D9066D">
        <w:rPr>
          <w:rFonts w:cstheme="minorHAnsi"/>
          <w:lang w:val="en-GB"/>
        </w:rPr>
        <w:t xml:space="preserve">Interim </w:t>
      </w:r>
      <w:r w:rsidR="00E626DF">
        <w:rPr>
          <w:rFonts w:cstheme="minorHAnsi"/>
          <w:lang w:val="en-GB"/>
        </w:rPr>
        <w:t>R</w:t>
      </w:r>
      <w:r w:rsidRPr="00D9066D">
        <w:rPr>
          <w:rFonts w:cstheme="minorHAnsi"/>
          <w:lang w:val="en-GB"/>
        </w:rPr>
        <w:t>eport</w:t>
      </w:r>
      <w:r w:rsidR="00010102">
        <w:rPr>
          <w:rFonts w:cstheme="minorHAnsi"/>
          <w:lang w:val="en-GB"/>
        </w:rPr>
        <w:t>,</w:t>
      </w:r>
      <w:r w:rsidRPr="00D9066D">
        <w:rPr>
          <w:rFonts w:cstheme="minorHAnsi"/>
          <w:lang w:val="en-GB"/>
        </w:rPr>
        <w:t xml:space="preserve"> </w:t>
      </w:r>
      <w:r w:rsidR="00510A80">
        <w:rPr>
          <w:rFonts w:cstheme="minorHAnsi"/>
          <w:lang w:val="en-GB"/>
        </w:rPr>
        <w:t xml:space="preserve">comprising </w:t>
      </w:r>
      <w:r w:rsidR="00405576">
        <w:rPr>
          <w:rFonts w:cstheme="minorHAnsi"/>
          <w:lang w:val="en-GB"/>
        </w:rPr>
        <w:t xml:space="preserve">Section 3, </w:t>
      </w:r>
      <w:r w:rsidR="00510A80">
        <w:rPr>
          <w:rFonts w:cstheme="minorHAnsi"/>
          <w:lang w:val="en-GB"/>
        </w:rPr>
        <w:t xml:space="preserve">Tasks 1, 2 and 3 of Section </w:t>
      </w:r>
      <w:r w:rsidR="00405576">
        <w:rPr>
          <w:rFonts w:cstheme="minorHAnsi"/>
          <w:lang w:val="en-GB"/>
        </w:rPr>
        <w:t>4</w:t>
      </w:r>
      <w:r w:rsidR="00193847">
        <w:rPr>
          <w:rFonts w:cstheme="minorHAnsi"/>
          <w:lang w:val="en-GB"/>
        </w:rPr>
        <w:t>,</w:t>
      </w:r>
    </w:p>
    <w:p w14:paraId="0F2B9397" w14:textId="2DBEB172" w:rsidR="00D9066D" w:rsidRPr="00D9066D" w:rsidRDefault="00D9066D" w:rsidP="009B4F6B">
      <w:pPr>
        <w:pStyle w:val="ListParagraph"/>
        <w:numPr>
          <w:ilvl w:val="0"/>
          <w:numId w:val="37"/>
        </w:numPr>
        <w:spacing w:after="0" w:line="276" w:lineRule="auto"/>
        <w:ind w:left="1276"/>
        <w:jc w:val="both"/>
        <w:rPr>
          <w:rFonts w:cstheme="minorHAnsi"/>
          <w:lang w:val="en-GB"/>
        </w:rPr>
      </w:pPr>
      <w:r w:rsidRPr="00D9066D">
        <w:rPr>
          <w:rFonts w:cstheme="minorHAnsi"/>
          <w:lang w:val="en-GB"/>
        </w:rPr>
        <w:t xml:space="preserve">Draft Final Report detailing all aspects of the </w:t>
      </w:r>
      <w:r w:rsidR="00B83C07">
        <w:rPr>
          <w:rFonts w:cstheme="minorHAnsi"/>
          <w:lang w:val="en-GB"/>
        </w:rPr>
        <w:t>Analysis</w:t>
      </w:r>
      <w:r w:rsidRPr="00D9066D">
        <w:rPr>
          <w:rFonts w:cstheme="minorHAnsi"/>
          <w:lang w:val="en-GB"/>
        </w:rPr>
        <w:t>, including findings and recommendations</w:t>
      </w:r>
      <w:r w:rsidR="00193847">
        <w:rPr>
          <w:rFonts w:cstheme="minorHAnsi"/>
          <w:lang w:val="en-GB"/>
        </w:rPr>
        <w:t>,</w:t>
      </w:r>
      <w:r w:rsidRPr="00D9066D">
        <w:rPr>
          <w:rFonts w:cstheme="minorHAnsi"/>
          <w:lang w:val="en-GB"/>
        </w:rPr>
        <w:t> </w:t>
      </w:r>
    </w:p>
    <w:p w14:paraId="15C9B3D7" w14:textId="07AA2DDF" w:rsidR="00D9066D" w:rsidRPr="00D9066D" w:rsidRDefault="00D9066D" w:rsidP="009B4F6B">
      <w:pPr>
        <w:pStyle w:val="ListParagraph"/>
        <w:numPr>
          <w:ilvl w:val="0"/>
          <w:numId w:val="37"/>
        </w:numPr>
        <w:spacing w:after="0" w:line="276" w:lineRule="auto"/>
        <w:ind w:left="1276"/>
        <w:jc w:val="both"/>
        <w:rPr>
          <w:rFonts w:cstheme="minorHAnsi"/>
          <w:lang w:val="en-GB"/>
        </w:rPr>
      </w:pPr>
      <w:r w:rsidRPr="00D9066D">
        <w:rPr>
          <w:rFonts w:cstheme="minorHAnsi"/>
          <w:lang w:val="en-GB"/>
        </w:rPr>
        <w:t xml:space="preserve">Final Report incorporating feedback on the </w:t>
      </w:r>
      <w:r w:rsidR="00B83C07">
        <w:rPr>
          <w:rFonts w:cstheme="minorHAnsi"/>
          <w:lang w:val="en-GB"/>
        </w:rPr>
        <w:t>D</w:t>
      </w:r>
      <w:r w:rsidRPr="00D9066D">
        <w:rPr>
          <w:rFonts w:cstheme="minorHAnsi"/>
          <w:lang w:val="en-GB"/>
        </w:rPr>
        <w:t xml:space="preserve">raft </w:t>
      </w:r>
      <w:r w:rsidR="00B83C07">
        <w:rPr>
          <w:rFonts w:cstheme="minorHAnsi"/>
          <w:lang w:val="en-GB"/>
        </w:rPr>
        <w:t>Final Report</w:t>
      </w:r>
      <w:r w:rsidR="00193847">
        <w:rPr>
          <w:rFonts w:cstheme="minorHAnsi"/>
          <w:lang w:val="en-GB"/>
        </w:rPr>
        <w:t>,</w:t>
      </w:r>
    </w:p>
    <w:p w14:paraId="63DAF5B4" w14:textId="560856A2" w:rsidR="0006506D" w:rsidRPr="00320706" w:rsidRDefault="0006506D" w:rsidP="009B4F6B">
      <w:pPr>
        <w:pStyle w:val="ListParagraph"/>
        <w:numPr>
          <w:ilvl w:val="0"/>
          <w:numId w:val="37"/>
        </w:numPr>
        <w:spacing w:after="0" w:line="276" w:lineRule="auto"/>
        <w:ind w:left="1276"/>
        <w:jc w:val="both"/>
        <w:rPr>
          <w:rFonts w:cstheme="minorHAnsi"/>
          <w:lang w:val="en-GB"/>
        </w:rPr>
      </w:pPr>
      <w:r w:rsidRPr="00320706">
        <w:rPr>
          <w:rFonts w:cstheme="minorHAnsi"/>
          <w:lang w:val="en-GB"/>
        </w:rPr>
        <w:t>Presentation of clear</w:t>
      </w:r>
      <w:r w:rsidR="0080616E">
        <w:rPr>
          <w:rFonts w:cstheme="minorHAnsi"/>
          <w:lang w:val="en-GB"/>
        </w:rPr>
        <w:t xml:space="preserve"> </w:t>
      </w:r>
      <w:r w:rsidRPr="00320706">
        <w:rPr>
          <w:rFonts w:cstheme="minorHAnsi"/>
          <w:lang w:val="en-GB"/>
        </w:rPr>
        <w:t>proposals for the project implementation</w:t>
      </w:r>
      <w:r w:rsidR="00F754D1">
        <w:rPr>
          <w:rFonts w:cstheme="minorHAnsi"/>
          <w:lang w:val="en-GB"/>
        </w:rPr>
        <w:t>,</w:t>
      </w:r>
    </w:p>
    <w:p w14:paraId="6210EEE7" w14:textId="375967F8" w:rsidR="0006506D" w:rsidRPr="00320706" w:rsidRDefault="0006506D" w:rsidP="009B4F6B">
      <w:pPr>
        <w:pStyle w:val="ListParagraph"/>
        <w:numPr>
          <w:ilvl w:val="0"/>
          <w:numId w:val="37"/>
        </w:numPr>
        <w:spacing w:after="0" w:line="276" w:lineRule="auto"/>
        <w:ind w:left="1276"/>
        <w:jc w:val="both"/>
        <w:rPr>
          <w:rFonts w:cstheme="minorHAnsi"/>
          <w:lang w:val="en-GB"/>
        </w:rPr>
      </w:pPr>
      <w:r w:rsidRPr="00320706">
        <w:rPr>
          <w:rFonts w:cstheme="minorHAnsi"/>
          <w:lang w:val="en-GB"/>
        </w:rPr>
        <w:t xml:space="preserve">Preparation of </w:t>
      </w:r>
      <w:r w:rsidR="009B0AC2">
        <w:rPr>
          <w:rFonts w:cstheme="minorHAnsi"/>
          <w:lang w:val="en-GB"/>
        </w:rPr>
        <w:t xml:space="preserve">detailed </w:t>
      </w:r>
      <w:r w:rsidRPr="00320706">
        <w:rPr>
          <w:rFonts w:cstheme="minorHAnsi"/>
          <w:lang w:val="en-GB"/>
        </w:rPr>
        <w:t>project roadmap, including key milestones and timeline</w:t>
      </w:r>
      <w:r w:rsidR="00F754D1">
        <w:rPr>
          <w:rFonts w:cstheme="minorHAnsi"/>
          <w:lang w:val="en-GB"/>
        </w:rPr>
        <w:t>,</w:t>
      </w:r>
    </w:p>
    <w:p w14:paraId="1AAAFF47" w14:textId="60E2E70D" w:rsidR="0006506D" w:rsidRPr="00C567BF" w:rsidRDefault="0006506D" w:rsidP="009B4F6B">
      <w:pPr>
        <w:pStyle w:val="ListParagraph"/>
        <w:numPr>
          <w:ilvl w:val="0"/>
          <w:numId w:val="37"/>
        </w:numPr>
        <w:spacing w:after="0" w:line="276" w:lineRule="auto"/>
        <w:ind w:left="1276"/>
        <w:jc w:val="both"/>
        <w:rPr>
          <w:rFonts w:cstheme="minorHAnsi"/>
          <w:lang w:val="en-GB"/>
        </w:rPr>
      </w:pPr>
      <w:r w:rsidRPr="00320706">
        <w:rPr>
          <w:rFonts w:cstheme="minorHAnsi"/>
          <w:lang w:val="en-GB"/>
        </w:rPr>
        <w:t xml:space="preserve">Development and delivery of the final report presentation and recommendations to key </w:t>
      </w:r>
      <w:r w:rsidRPr="00C567BF">
        <w:rPr>
          <w:rFonts w:cstheme="minorHAnsi"/>
          <w:lang w:val="en-GB"/>
        </w:rPr>
        <w:t>stakeholders.</w:t>
      </w:r>
    </w:p>
    <w:p w14:paraId="2201BA9C" w14:textId="185BEB10" w:rsidR="001C1F76" w:rsidRPr="00C567BF" w:rsidRDefault="00152591" w:rsidP="009B4F6B">
      <w:pPr>
        <w:pStyle w:val="ListParagraph"/>
        <w:numPr>
          <w:ilvl w:val="0"/>
          <w:numId w:val="37"/>
        </w:numPr>
        <w:spacing w:after="0" w:line="276" w:lineRule="auto"/>
        <w:ind w:left="1276"/>
        <w:jc w:val="both"/>
        <w:rPr>
          <w:rFonts w:cstheme="minorHAnsi"/>
          <w:lang w:val="en-GB"/>
        </w:rPr>
      </w:pPr>
      <w:r w:rsidRPr="00C567BF">
        <w:rPr>
          <w:rFonts w:cstheme="minorHAnsi"/>
          <w:lang w:val="en-GB"/>
        </w:rPr>
        <w:t>Open access spreadsheets</w:t>
      </w:r>
      <w:r w:rsidR="000957A9" w:rsidRPr="00C567BF">
        <w:rPr>
          <w:rFonts w:cstheme="minorHAnsi"/>
          <w:lang w:val="en-GB"/>
        </w:rPr>
        <w:t xml:space="preserve"> compatible with Excel MS</w:t>
      </w:r>
      <w:r w:rsidR="00710AC7" w:rsidRPr="00C567BF">
        <w:rPr>
          <w:rFonts w:cstheme="minorHAnsi"/>
          <w:lang w:val="en-GB"/>
        </w:rPr>
        <w:t>. I</w:t>
      </w:r>
      <w:r w:rsidR="00190D6A" w:rsidRPr="00C567BF">
        <w:rPr>
          <w:rFonts w:cstheme="minorHAnsi"/>
          <w:lang w:val="en-GB"/>
        </w:rPr>
        <w:t xml:space="preserve">f the file cannot be </w:t>
      </w:r>
      <w:r w:rsidR="0021190B" w:rsidRPr="00C567BF">
        <w:rPr>
          <w:rFonts w:cstheme="minorHAnsi"/>
          <w:lang w:val="en-GB"/>
        </w:rPr>
        <w:t>viewed with Excel MS</w:t>
      </w:r>
      <w:r w:rsidR="00190D6A" w:rsidRPr="00C567BF">
        <w:rPr>
          <w:rFonts w:cstheme="minorHAnsi"/>
          <w:lang w:val="en-GB"/>
        </w:rPr>
        <w:t xml:space="preserve"> any specialized software required must be included in the submission,</w:t>
      </w:r>
      <w:r w:rsidR="00B7162B" w:rsidRPr="00C567BF">
        <w:rPr>
          <w:rFonts w:cstheme="minorHAnsi"/>
          <w:lang w:val="en-GB"/>
        </w:rPr>
        <w:t xml:space="preserve"> </w:t>
      </w:r>
      <w:r w:rsidR="001C1F76" w:rsidRPr="00C567BF">
        <w:rPr>
          <w:rFonts w:cstheme="minorHAnsi"/>
          <w:lang w:val="en-GB"/>
        </w:rPr>
        <w:t xml:space="preserve">including </w:t>
      </w:r>
      <w:r w:rsidR="00791094" w:rsidRPr="00C567BF">
        <w:rPr>
          <w:rFonts w:cstheme="minorHAnsi"/>
          <w:lang w:val="en-GB"/>
        </w:rPr>
        <w:t xml:space="preserve">input </w:t>
      </w:r>
      <w:r w:rsidR="001C1F76" w:rsidRPr="00C567BF">
        <w:rPr>
          <w:rFonts w:cstheme="minorHAnsi"/>
          <w:lang w:val="en-GB"/>
        </w:rPr>
        <w:t xml:space="preserve">data and </w:t>
      </w:r>
      <w:r w:rsidR="00A33413" w:rsidRPr="00C567BF">
        <w:rPr>
          <w:rFonts w:cstheme="minorHAnsi"/>
          <w:lang w:val="en-GB"/>
        </w:rPr>
        <w:t>operative formulas</w:t>
      </w:r>
      <w:r w:rsidR="00C50FD2" w:rsidRPr="00C567BF">
        <w:rPr>
          <w:rFonts w:cstheme="minorHAnsi"/>
          <w:lang w:val="en-GB"/>
        </w:rPr>
        <w:t xml:space="preserve"> used</w:t>
      </w:r>
      <w:r w:rsidR="00A33413" w:rsidRPr="00C567BF">
        <w:rPr>
          <w:rFonts w:cstheme="minorHAnsi"/>
          <w:lang w:val="en-GB"/>
        </w:rPr>
        <w:t xml:space="preserve"> </w:t>
      </w:r>
      <w:r w:rsidR="001C1F76" w:rsidRPr="00C567BF">
        <w:rPr>
          <w:rFonts w:cstheme="minorHAnsi"/>
          <w:lang w:val="en-GB"/>
        </w:rPr>
        <w:t>for the Analysis</w:t>
      </w:r>
      <w:r w:rsidR="00C50FD2" w:rsidRPr="00C567BF">
        <w:rPr>
          <w:rFonts w:cstheme="minorHAnsi"/>
          <w:lang w:val="en-GB"/>
        </w:rPr>
        <w:t>. The Service Provide shall include bri</w:t>
      </w:r>
      <w:r w:rsidR="00C567BF" w:rsidRPr="000B2D0A">
        <w:rPr>
          <w:rFonts w:cstheme="minorHAnsi"/>
          <w:lang w:val="en-GB"/>
        </w:rPr>
        <w:t>e</w:t>
      </w:r>
      <w:r w:rsidR="00C50FD2" w:rsidRPr="00C567BF">
        <w:rPr>
          <w:rFonts w:cstheme="minorHAnsi"/>
          <w:lang w:val="en-GB"/>
        </w:rPr>
        <w:t>f instructions how to use</w:t>
      </w:r>
      <w:r w:rsidR="00E121A3" w:rsidRPr="00C567BF">
        <w:rPr>
          <w:rFonts w:cstheme="minorHAnsi"/>
          <w:lang w:val="en-GB"/>
        </w:rPr>
        <w:t>,</w:t>
      </w:r>
    </w:p>
    <w:p w14:paraId="635E261E" w14:textId="5CD93196" w:rsidR="00036E0C" w:rsidRDefault="00F754D1" w:rsidP="009B4F6B">
      <w:pPr>
        <w:pStyle w:val="ListParagraph"/>
        <w:numPr>
          <w:ilvl w:val="0"/>
          <w:numId w:val="37"/>
        </w:numPr>
        <w:spacing w:after="0" w:line="276" w:lineRule="auto"/>
        <w:ind w:left="1276"/>
        <w:jc w:val="both"/>
        <w:rPr>
          <w:lang w:val="en-GB"/>
        </w:rPr>
      </w:pPr>
      <w:r w:rsidRPr="37397D9F">
        <w:rPr>
          <w:lang w:val="en-GB"/>
        </w:rPr>
        <w:t xml:space="preserve">Two </w:t>
      </w:r>
      <w:r w:rsidR="00EC5DDC" w:rsidRPr="37397D9F">
        <w:rPr>
          <w:lang w:val="en-GB"/>
        </w:rPr>
        <w:t xml:space="preserve">on-line </w:t>
      </w:r>
      <w:r w:rsidRPr="37397D9F">
        <w:rPr>
          <w:lang w:val="en-GB"/>
        </w:rPr>
        <w:t xml:space="preserve">workshops for the presentation of interim results and </w:t>
      </w:r>
      <w:r w:rsidR="00FD6CC9" w:rsidRPr="37397D9F">
        <w:rPr>
          <w:lang w:val="en-GB"/>
        </w:rPr>
        <w:t xml:space="preserve">presentation of final report, including </w:t>
      </w:r>
      <w:r w:rsidR="72682D90" w:rsidRPr="37397D9F">
        <w:rPr>
          <w:lang w:val="en-GB"/>
        </w:rPr>
        <w:t xml:space="preserve">a </w:t>
      </w:r>
      <w:r w:rsidR="00FD6CC9" w:rsidRPr="37397D9F">
        <w:rPr>
          <w:lang w:val="en-GB"/>
        </w:rPr>
        <w:t>w</w:t>
      </w:r>
      <w:r w:rsidR="006F3D78" w:rsidRPr="37397D9F">
        <w:rPr>
          <w:lang w:val="en-GB"/>
        </w:rPr>
        <w:t>orkshop how to use</w:t>
      </w:r>
      <w:r w:rsidR="009279D0" w:rsidRPr="37397D9F">
        <w:rPr>
          <w:lang w:val="en-GB"/>
        </w:rPr>
        <w:t xml:space="preserve"> and </w:t>
      </w:r>
      <w:r w:rsidR="00BC77B0" w:rsidRPr="37397D9F">
        <w:rPr>
          <w:lang w:val="en-GB"/>
        </w:rPr>
        <w:t>interpret</w:t>
      </w:r>
      <w:r w:rsidR="006F3D78" w:rsidRPr="37397D9F">
        <w:rPr>
          <w:lang w:val="en-GB"/>
        </w:rPr>
        <w:t xml:space="preserve"> excels</w:t>
      </w:r>
      <w:r w:rsidR="00946848" w:rsidRPr="37397D9F">
        <w:rPr>
          <w:lang w:val="en-GB"/>
        </w:rPr>
        <w:t xml:space="preserve"> and models</w:t>
      </w:r>
      <w:r w:rsidR="00BC77B0" w:rsidRPr="37397D9F">
        <w:rPr>
          <w:lang w:val="en-GB"/>
        </w:rPr>
        <w:t xml:space="preserve"> by the Service Provider</w:t>
      </w:r>
      <w:r w:rsidR="00FD6CC9" w:rsidRPr="37397D9F">
        <w:rPr>
          <w:lang w:val="en-GB"/>
        </w:rPr>
        <w:t xml:space="preserve">, will be </w:t>
      </w:r>
      <w:proofErr w:type="gramStart"/>
      <w:r w:rsidR="00FD6CC9" w:rsidRPr="37397D9F">
        <w:rPr>
          <w:lang w:val="en-GB"/>
        </w:rPr>
        <w:t>organised</w:t>
      </w:r>
      <w:r w:rsidR="00036E0C" w:rsidRPr="37397D9F">
        <w:rPr>
          <w:lang w:val="en-GB"/>
        </w:rPr>
        <w:t>;</w:t>
      </w:r>
      <w:proofErr w:type="gramEnd"/>
    </w:p>
    <w:p w14:paraId="4F7678E9" w14:textId="58C96331" w:rsidR="006F3D78" w:rsidRPr="00320706" w:rsidRDefault="00036E0C" w:rsidP="009B4F6B">
      <w:pPr>
        <w:pStyle w:val="ListParagraph"/>
        <w:numPr>
          <w:ilvl w:val="0"/>
          <w:numId w:val="37"/>
        </w:numPr>
        <w:spacing w:after="0" w:line="276" w:lineRule="auto"/>
        <w:ind w:left="1276"/>
        <w:jc w:val="both"/>
        <w:rPr>
          <w:rFonts w:cstheme="minorHAnsi"/>
          <w:lang w:val="en-GB"/>
        </w:rPr>
      </w:pPr>
      <w:r>
        <w:rPr>
          <w:rFonts w:cstheme="minorHAnsi"/>
          <w:lang w:val="en-GB"/>
        </w:rPr>
        <w:t xml:space="preserve">Template to be filled by the Service provider as input for </w:t>
      </w:r>
      <w:r w:rsidR="00FE7797">
        <w:rPr>
          <w:rFonts w:cstheme="minorHAnsi"/>
          <w:lang w:val="en-GB"/>
        </w:rPr>
        <w:t>Joint</w:t>
      </w:r>
      <w:r>
        <w:rPr>
          <w:rFonts w:cstheme="minorHAnsi"/>
          <w:lang w:val="en-GB"/>
        </w:rPr>
        <w:t xml:space="preserve"> cross-border </w:t>
      </w:r>
      <w:r w:rsidR="00FE7797">
        <w:rPr>
          <w:rFonts w:cstheme="minorHAnsi"/>
          <w:lang w:val="en-GB"/>
        </w:rPr>
        <w:t>commercial study for NBHC</w:t>
      </w:r>
      <w:r w:rsidR="009B4F6B">
        <w:rPr>
          <w:rFonts w:cstheme="minorHAnsi"/>
          <w:lang w:val="en-GB"/>
        </w:rPr>
        <w:t>.</w:t>
      </w:r>
    </w:p>
    <w:p w14:paraId="380C1F60" w14:textId="7AAB395E" w:rsidR="00AB7A31" w:rsidRPr="00AB7A31" w:rsidRDefault="00AB7A31" w:rsidP="00AB7A31">
      <w:pPr>
        <w:spacing w:after="0" w:line="276" w:lineRule="auto"/>
        <w:jc w:val="both"/>
        <w:rPr>
          <w:rFonts w:cstheme="minorHAnsi"/>
          <w:lang w:val="en-GB"/>
        </w:rPr>
      </w:pPr>
      <w:r w:rsidRPr="00AB7A31">
        <w:rPr>
          <w:rFonts w:cstheme="minorHAnsi"/>
          <w:lang w:val="en-GB"/>
        </w:rPr>
        <w:t>The results of the Analysis of Lithuania’s segment</w:t>
      </w:r>
      <w:r w:rsidR="00E626DF">
        <w:rPr>
          <w:rFonts w:cstheme="minorHAnsi"/>
          <w:lang w:val="en-GB"/>
        </w:rPr>
        <w:t xml:space="preserve"> of NBHC</w:t>
      </w:r>
      <w:r w:rsidRPr="00AB7A31">
        <w:rPr>
          <w:rFonts w:cstheme="minorHAnsi"/>
          <w:lang w:val="en-GB"/>
        </w:rPr>
        <w:t xml:space="preserve"> will be used as input for Joint </w:t>
      </w:r>
      <w:r w:rsidR="004E631F">
        <w:rPr>
          <w:rFonts w:cstheme="minorHAnsi"/>
          <w:lang w:val="en-GB"/>
        </w:rPr>
        <w:t>c</w:t>
      </w:r>
      <w:r w:rsidRPr="00AB7A31">
        <w:rPr>
          <w:rFonts w:cstheme="minorHAnsi"/>
          <w:lang w:val="en-GB"/>
        </w:rPr>
        <w:t xml:space="preserve">ommercial study </w:t>
      </w:r>
      <w:r w:rsidR="00EC1E1C">
        <w:rPr>
          <w:rFonts w:cstheme="minorHAnsi"/>
          <w:lang w:val="en-GB"/>
        </w:rPr>
        <w:t xml:space="preserve">that will be conducted </w:t>
      </w:r>
      <w:r w:rsidRPr="00AB7A31">
        <w:rPr>
          <w:rFonts w:cstheme="minorHAnsi"/>
          <w:lang w:val="en-GB"/>
        </w:rPr>
        <w:t>for the whole NBHC project. The template o</w:t>
      </w:r>
      <w:r w:rsidR="004E631F">
        <w:rPr>
          <w:rFonts w:cstheme="minorHAnsi"/>
          <w:lang w:val="en-GB"/>
        </w:rPr>
        <w:t>f</w:t>
      </w:r>
      <w:r w:rsidRPr="00AB7A31">
        <w:rPr>
          <w:rFonts w:cstheme="minorHAnsi"/>
          <w:lang w:val="en-GB"/>
        </w:rPr>
        <w:t xml:space="preserve"> data breakdown required to be as input for Joint </w:t>
      </w:r>
      <w:r w:rsidR="00036E0C">
        <w:rPr>
          <w:rFonts w:cstheme="minorHAnsi"/>
          <w:lang w:val="en-GB"/>
        </w:rPr>
        <w:t xml:space="preserve">cross-border </w:t>
      </w:r>
      <w:r w:rsidR="004E631F">
        <w:rPr>
          <w:rFonts w:cstheme="minorHAnsi"/>
          <w:lang w:val="en-GB"/>
        </w:rPr>
        <w:t>c</w:t>
      </w:r>
      <w:r w:rsidRPr="00AB7A31">
        <w:rPr>
          <w:rFonts w:cstheme="minorHAnsi"/>
          <w:lang w:val="en-GB"/>
        </w:rPr>
        <w:t xml:space="preserve">ommercial study </w:t>
      </w:r>
      <w:r w:rsidR="00036E0C">
        <w:rPr>
          <w:rFonts w:cstheme="minorHAnsi"/>
          <w:lang w:val="en-GB"/>
        </w:rPr>
        <w:t xml:space="preserve">for NBHC </w:t>
      </w:r>
      <w:r w:rsidRPr="00AB7A31">
        <w:rPr>
          <w:rFonts w:cstheme="minorHAnsi"/>
          <w:lang w:val="en-GB"/>
        </w:rPr>
        <w:t xml:space="preserve">will be </w:t>
      </w:r>
      <w:r w:rsidR="00EC1E1C">
        <w:rPr>
          <w:rFonts w:cstheme="minorHAnsi"/>
          <w:lang w:val="en-GB"/>
        </w:rPr>
        <w:t xml:space="preserve">provided </w:t>
      </w:r>
      <w:r w:rsidR="00193847">
        <w:rPr>
          <w:rFonts w:cstheme="minorHAnsi"/>
          <w:lang w:val="en-GB"/>
        </w:rPr>
        <w:t>by Amber Grid</w:t>
      </w:r>
      <w:r w:rsidR="00E362AC">
        <w:rPr>
          <w:rFonts w:cstheme="minorHAnsi"/>
          <w:lang w:val="en-GB"/>
        </w:rPr>
        <w:t xml:space="preserve"> </w:t>
      </w:r>
      <w:r w:rsidR="002F6AE1">
        <w:rPr>
          <w:rFonts w:cstheme="minorHAnsi"/>
          <w:lang w:val="en-GB"/>
        </w:rPr>
        <w:t xml:space="preserve">to </w:t>
      </w:r>
      <w:r w:rsidR="00E362AC">
        <w:rPr>
          <w:rFonts w:cstheme="minorHAnsi"/>
          <w:lang w:val="en-GB"/>
        </w:rPr>
        <w:t>be completed</w:t>
      </w:r>
      <w:r w:rsidR="002F6AE1">
        <w:rPr>
          <w:rFonts w:cstheme="minorHAnsi"/>
          <w:lang w:val="en-GB"/>
        </w:rPr>
        <w:t xml:space="preserve"> </w:t>
      </w:r>
      <w:r w:rsidRPr="00AB7A31">
        <w:rPr>
          <w:rFonts w:cstheme="minorHAnsi"/>
          <w:lang w:val="en-GB"/>
        </w:rPr>
        <w:t xml:space="preserve">by the Service provider at the final phase of the </w:t>
      </w:r>
      <w:r w:rsidR="003A62DF">
        <w:rPr>
          <w:rFonts w:cstheme="minorHAnsi"/>
          <w:lang w:val="en-GB"/>
        </w:rPr>
        <w:t>Analysis</w:t>
      </w:r>
      <w:r w:rsidRPr="00AB7A31">
        <w:rPr>
          <w:rFonts w:cstheme="minorHAnsi"/>
          <w:lang w:val="en-GB"/>
        </w:rPr>
        <w:t>.</w:t>
      </w:r>
    </w:p>
    <w:p w14:paraId="14D7F6BD" w14:textId="77777777" w:rsidR="00696F55" w:rsidRPr="00D9066D" w:rsidRDefault="00696F55" w:rsidP="00696F55">
      <w:pPr>
        <w:pStyle w:val="ListParagraph"/>
        <w:spacing w:after="0" w:line="276" w:lineRule="auto"/>
        <w:ind w:left="709"/>
        <w:jc w:val="both"/>
        <w:rPr>
          <w:rFonts w:cstheme="minorHAnsi"/>
          <w:lang w:val="en-GB"/>
        </w:rPr>
      </w:pPr>
    </w:p>
    <w:p w14:paraId="3A70068C" w14:textId="77777777" w:rsidR="00D9066D" w:rsidRDefault="00D9066D" w:rsidP="00D9066D">
      <w:pPr>
        <w:pStyle w:val="paragraph"/>
        <w:spacing w:before="0" w:beforeAutospacing="0" w:after="0" w:afterAutospacing="0"/>
        <w:jc w:val="both"/>
        <w:textAlignment w:val="baseline"/>
        <w:rPr>
          <w:rFonts w:ascii="Segoe UI" w:hAnsi="Segoe UI" w:cs="Segoe UI"/>
          <w:sz w:val="18"/>
          <w:szCs w:val="18"/>
        </w:rPr>
      </w:pPr>
      <w:r>
        <w:rPr>
          <w:rStyle w:val="eop"/>
          <w:rFonts w:ascii="Gill Sans MT" w:hAnsi="Gill Sans MT" w:cs="Segoe UI"/>
          <w:sz w:val="22"/>
          <w:szCs w:val="22"/>
        </w:rPr>
        <w:t> </w:t>
      </w:r>
    </w:p>
    <w:p w14:paraId="76B7F80E" w14:textId="77777777" w:rsidR="00D9066D" w:rsidRPr="00320706" w:rsidRDefault="00D9066D" w:rsidP="00320706">
      <w:pPr>
        <w:spacing w:after="0" w:line="276" w:lineRule="auto"/>
        <w:jc w:val="both"/>
        <w:rPr>
          <w:rFonts w:cstheme="minorHAnsi"/>
          <w:b/>
          <w:bCs/>
          <w:caps/>
          <w:lang w:val="en-GB"/>
        </w:rPr>
      </w:pPr>
      <w:r w:rsidRPr="00320706">
        <w:rPr>
          <w:rFonts w:cstheme="minorHAnsi"/>
          <w:b/>
          <w:bCs/>
          <w:caps/>
          <w:lang w:val="en-GB"/>
        </w:rPr>
        <w:t>Timeline </w:t>
      </w:r>
    </w:p>
    <w:p w14:paraId="27031FE3" w14:textId="77777777" w:rsidR="00696F55" w:rsidRPr="00696F55" w:rsidRDefault="00696F55" w:rsidP="00696F55">
      <w:pPr>
        <w:pStyle w:val="ListParagraph"/>
        <w:spacing w:after="0" w:line="276" w:lineRule="auto"/>
        <w:ind w:left="360"/>
        <w:jc w:val="both"/>
        <w:rPr>
          <w:rFonts w:cstheme="minorHAnsi"/>
          <w:lang w:val="en-GB"/>
        </w:rPr>
      </w:pPr>
    </w:p>
    <w:p w14:paraId="6459C783" w14:textId="65F9E6D9" w:rsidR="00CE1413" w:rsidRPr="009D61E8" w:rsidRDefault="005841C9" w:rsidP="009D61E8">
      <w:pPr>
        <w:spacing w:after="0" w:line="276" w:lineRule="auto"/>
        <w:jc w:val="both"/>
        <w:rPr>
          <w:rFonts w:cstheme="minorHAnsi"/>
          <w:lang w:val="en-GB"/>
        </w:rPr>
      </w:pPr>
      <w:r>
        <w:rPr>
          <w:rFonts w:cstheme="minorHAnsi"/>
          <w:lang w:val="en-GB"/>
        </w:rPr>
        <w:t>The detailed execution plan will be suggested by the Service provider and coordinated with Amber Grid during the kick off meeting.</w:t>
      </w:r>
    </w:p>
    <w:p w14:paraId="1E932D1D" w14:textId="77777777" w:rsidR="007B6CDA" w:rsidRDefault="007B6CDA" w:rsidP="007B6CDA">
      <w:pPr>
        <w:spacing w:after="0" w:line="276" w:lineRule="auto"/>
        <w:jc w:val="both"/>
        <w:rPr>
          <w:rFonts w:cstheme="minorHAnsi"/>
          <w:lang w:val="en-GB"/>
        </w:rPr>
      </w:pPr>
    </w:p>
    <w:p w14:paraId="1CCBB646" w14:textId="28BB130E" w:rsidR="007B6CDA" w:rsidRPr="007B6CDA" w:rsidRDefault="00700252" w:rsidP="007B6CDA">
      <w:pPr>
        <w:spacing w:after="0" w:line="276" w:lineRule="auto"/>
        <w:jc w:val="both"/>
        <w:rPr>
          <w:rFonts w:cstheme="minorHAnsi"/>
          <w:lang w:val="en-GB"/>
        </w:rPr>
      </w:pPr>
      <w:r>
        <w:rPr>
          <w:rFonts w:cstheme="minorHAnsi"/>
          <w:lang w:val="en-GB"/>
        </w:rPr>
        <w:t>The Analysis will have to be carried out within 175 calendar days after signing the Contract.</w:t>
      </w:r>
    </w:p>
    <w:p w14:paraId="6E4B6BAA" w14:textId="77777777" w:rsidR="007B6CDA" w:rsidRPr="007B6CDA" w:rsidRDefault="007B6CDA" w:rsidP="007B6CDA">
      <w:pPr>
        <w:spacing w:after="0" w:line="276" w:lineRule="auto"/>
        <w:jc w:val="both"/>
        <w:rPr>
          <w:rFonts w:cstheme="minorHAnsi"/>
          <w:lang w:val="en-GB"/>
        </w:rPr>
      </w:pPr>
    </w:p>
    <w:p w14:paraId="38EA81A6" w14:textId="0CD1BD96" w:rsidR="009A4603" w:rsidRDefault="009A4603" w:rsidP="00B72262">
      <w:pPr>
        <w:pStyle w:val="ListParagraph"/>
        <w:spacing w:after="0" w:line="276" w:lineRule="auto"/>
        <w:jc w:val="both"/>
        <w:rPr>
          <w:rFonts w:cstheme="minorHAnsi"/>
          <w:lang w:val="en-GB"/>
        </w:rPr>
      </w:pPr>
    </w:p>
    <w:sectPr w:rsidR="009A4603" w:rsidSect="00D10B8F">
      <w:headerReference w:type="default" r:id="rId16"/>
      <w:footerReference w:type="default" r:id="rId17"/>
      <w:headerReference w:type="first" r:id="rId18"/>
      <w:pgSz w:w="11906" w:h="16838"/>
      <w:pgMar w:top="1701" w:right="1416" w:bottom="1134" w:left="99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AEE1C" w14:textId="77777777" w:rsidR="00540AEC" w:rsidRDefault="00540AEC" w:rsidP="004577C3">
      <w:pPr>
        <w:spacing w:after="0" w:line="240" w:lineRule="auto"/>
      </w:pPr>
      <w:r>
        <w:separator/>
      </w:r>
    </w:p>
  </w:endnote>
  <w:endnote w:type="continuationSeparator" w:id="0">
    <w:p w14:paraId="54DF67E3" w14:textId="77777777" w:rsidR="00540AEC" w:rsidRDefault="00540AEC" w:rsidP="004577C3">
      <w:pPr>
        <w:spacing w:after="0" w:line="240" w:lineRule="auto"/>
      </w:pPr>
      <w:r>
        <w:continuationSeparator/>
      </w:r>
    </w:p>
  </w:endnote>
  <w:endnote w:type="continuationNotice" w:id="1">
    <w:p w14:paraId="5C607D2D" w14:textId="77777777" w:rsidR="00540AEC" w:rsidRDefault="00540A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Gill Sans MT">
    <w:charset w:val="00"/>
    <w:family w:val="swiss"/>
    <w:pitch w:val="variable"/>
    <w:sig w:usb0="00000003"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lang w:val="en-GB"/>
      </w:rPr>
      <w:id w:val="-1114908721"/>
      <w:docPartObj>
        <w:docPartGallery w:val="Page Numbers (Bottom of Page)"/>
        <w:docPartUnique/>
      </w:docPartObj>
    </w:sdtPr>
    <w:sdtEndPr/>
    <w:sdtContent>
      <w:sdt>
        <w:sdtPr>
          <w:rPr>
            <w:rFonts w:cstheme="minorHAnsi"/>
            <w:lang w:val="en-GB"/>
          </w:rPr>
          <w:id w:val="-1769616900"/>
          <w:docPartObj>
            <w:docPartGallery w:val="Page Numbers (Top of Page)"/>
            <w:docPartUnique/>
          </w:docPartObj>
        </w:sdtPr>
        <w:sdtEndPr/>
        <w:sdtContent>
          <w:p w14:paraId="6772F4E4" w14:textId="322EAB00" w:rsidR="004577C3" w:rsidRPr="009B4F6B" w:rsidRDefault="004577C3">
            <w:pPr>
              <w:pStyle w:val="Footer"/>
              <w:jc w:val="right"/>
              <w:rPr>
                <w:rFonts w:cstheme="minorHAnsi"/>
                <w:lang w:val="en-GB"/>
              </w:rPr>
            </w:pPr>
            <w:r w:rsidRPr="009B4F6B">
              <w:rPr>
                <w:rFonts w:cstheme="minorHAnsi"/>
                <w:lang w:val="en-GB"/>
              </w:rPr>
              <w:t xml:space="preserve">Page </w:t>
            </w:r>
            <w:r w:rsidRPr="009B4F6B">
              <w:rPr>
                <w:rFonts w:cstheme="minorHAnsi"/>
                <w:b/>
                <w:bCs/>
                <w:sz w:val="24"/>
                <w:szCs w:val="24"/>
                <w:lang w:val="en-GB"/>
              </w:rPr>
              <w:fldChar w:fldCharType="begin"/>
            </w:r>
            <w:r w:rsidRPr="009B4F6B">
              <w:rPr>
                <w:rFonts w:cstheme="minorHAnsi"/>
                <w:b/>
                <w:bCs/>
                <w:lang w:val="en-GB"/>
              </w:rPr>
              <w:instrText>PAGE</w:instrText>
            </w:r>
            <w:r w:rsidRPr="009B4F6B">
              <w:rPr>
                <w:rFonts w:cstheme="minorHAnsi"/>
                <w:b/>
                <w:bCs/>
                <w:sz w:val="24"/>
                <w:szCs w:val="24"/>
                <w:lang w:val="en-GB"/>
              </w:rPr>
              <w:fldChar w:fldCharType="separate"/>
            </w:r>
            <w:r w:rsidRPr="009B4F6B">
              <w:rPr>
                <w:rFonts w:cstheme="minorHAnsi"/>
                <w:b/>
                <w:bCs/>
                <w:lang w:val="en-GB"/>
              </w:rPr>
              <w:t>2</w:t>
            </w:r>
            <w:r w:rsidRPr="009B4F6B">
              <w:rPr>
                <w:rFonts w:cstheme="minorHAnsi"/>
                <w:b/>
                <w:bCs/>
                <w:sz w:val="24"/>
                <w:szCs w:val="24"/>
                <w:lang w:val="en-GB"/>
              </w:rPr>
              <w:fldChar w:fldCharType="end"/>
            </w:r>
            <w:r w:rsidRPr="009B4F6B">
              <w:rPr>
                <w:rFonts w:cstheme="minorHAnsi"/>
                <w:lang w:val="en-GB"/>
              </w:rPr>
              <w:t xml:space="preserve"> from </w:t>
            </w:r>
            <w:r w:rsidRPr="009B4F6B">
              <w:rPr>
                <w:rFonts w:cstheme="minorHAnsi"/>
                <w:b/>
                <w:bCs/>
                <w:sz w:val="24"/>
                <w:szCs w:val="24"/>
                <w:lang w:val="en-GB"/>
              </w:rPr>
              <w:fldChar w:fldCharType="begin"/>
            </w:r>
            <w:r w:rsidRPr="009B4F6B">
              <w:rPr>
                <w:rFonts w:cstheme="minorHAnsi"/>
                <w:b/>
                <w:bCs/>
                <w:lang w:val="en-GB"/>
              </w:rPr>
              <w:instrText>NUMPAGES</w:instrText>
            </w:r>
            <w:r w:rsidRPr="009B4F6B">
              <w:rPr>
                <w:rFonts w:cstheme="minorHAnsi"/>
                <w:b/>
                <w:bCs/>
                <w:sz w:val="24"/>
                <w:szCs w:val="24"/>
                <w:lang w:val="en-GB"/>
              </w:rPr>
              <w:fldChar w:fldCharType="separate"/>
            </w:r>
            <w:r w:rsidRPr="009B4F6B">
              <w:rPr>
                <w:rFonts w:cstheme="minorHAnsi"/>
                <w:b/>
                <w:bCs/>
                <w:lang w:val="en-GB"/>
              </w:rPr>
              <w:t>2</w:t>
            </w:r>
            <w:r w:rsidRPr="009B4F6B">
              <w:rPr>
                <w:rFonts w:cstheme="minorHAnsi"/>
                <w:b/>
                <w:bCs/>
                <w:sz w:val="24"/>
                <w:szCs w:val="24"/>
                <w:lang w:val="en-GB"/>
              </w:rPr>
              <w:fldChar w:fldCharType="end"/>
            </w:r>
          </w:p>
        </w:sdtContent>
      </w:sdt>
    </w:sdtContent>
  </w:sdt>
  <w:p w14:paraId="7885A27A" w14:textId="77777777" w:rsidR="004577C3" w:rsidRDefault="00457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7AAC7" w14:textId="77777777" w:rsidR="00540AEC" w:rsidRDefault="00540AEC" w:rsidP="004577C3">
      <w:pPr>
        <w:spacing w:after="0" w:line="240" w:lineRule="auto"/>
      </w:pPr>
      <w:r>
        <w:separator/>
      </w:r>
    </w:p>
  </w:footnote>
  <w:footnote w:type="continuationSeparator" w:id="0">
    <w:p w14:paraId="5BFC5F81" w14:textId="77777777" w:rsidR="00540AEC" w:rsidRDefault="00540AEC" w:rsidP="004577C3">
      <w:pPr>
        <w:spacing w:after="0" w:line="240" w:lineRule="auto"/>
      </w:pPr>
      <w:r>
        <w:continuationSeparator/>
      </w:r>
    </w:p>
  </w:footnote>
  <w:footnote w:type="continuationNotice" w:id="1">
    <w:p w14:paraId="2C2C3314" w14:textId="77777777" w:rsidR="00540AEC" w:rsidRDefault="00540AEC">
      <w:pPr>
        <w:spacing w:after="0" w:line="240" w:lineRule="auto"/>
      </w:pPr>
    </w:p>
  </w:footnote>
  <w:footnote w:id="2">
    <w:p w14:paraId="5B28E291" w14:textId="77777777" w:rsidR="00BC63AB" w:rsidRPr="00A857EC" w:rsidRDefault="00BC63AB" w:rsidP="00BC63AB">
      <w:pPr>
        <w:pStyle w:val="FootnoteText"/>
        <w:rPr>
          <w:rFonts w:ascii="Calibri" w:hAnsi="Calibri" w:cs="Calibri"/>
        </w:rPr>
      </w:pPr>
      <w:r>
        <w:rPr>
          <w:rStyle w:val="FootnoteReference"/>
          <w:rFonts w:ascii="Calibri" w:hAnsi="Calibri" w:cs="Calibri"/>
        </w:rPr>
        <w:footnoteRef/>
      </w:r>
      <w:r>
        <w:rPr>
          <w:rFonts w:ascii="Calibri" w:hAnsi="Calibri"/>
        </w:rPr>
        <w:t xml:space="preserve"> The currently applicable CBA methodology is available at: </w:t>
      </w:r>
      <w:hyperlink r:id="rId1" w:history="1">
        <w:r>
          <w:rPr>
            <w:rStyle w:val="Hyperlink"/>
            <w:rFonts w:ascii="Calibri" w:hAnsi="Calibri"/>
          </w:rPr>
          <w:t>https://www.entsog.eu/sites/default/files/2023-06/Draft%20ENTSOG%20CBA%20Methodology_June%202023.pdf</w:t>
        </w:r>
      </w:hyperlink>
      <w:r>
        <w:rPr>
          <w:rFonts w:ascii="Calibri" w:hAnsi="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8918B" w14:textId="3D2466EA" w:rsidR="007C1130" w:rsidRDefault="007C1130" w:rsidP="007C1130">
    <w:pPr>
      <w:pStyle w:val="Header"/>
      <w:jc w:val="right"/>
    </w:pPr>
    <w:r>
      <w:rPr>
        <w:noProof/>
      </w:rPr>
      <w:drawing>
        <wp:inline distT="0" distB="0" distL="0" distR="0" wp14:anchorId="4BA4697F" wp14:editId="178A4B93">
          <wp:extent cx="871855" cy="243840"/>
          <wp:effectExtent l="0" t="0" r="4445" b="3810"/>
          <wp:docPr id="110663043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855" cy="243840"/>
                  </a:xfrm>
                  <a:prstGeom prst="rect">
                    <a:avLst/>
                  </a:prstGeom>
                  <a:noFill/>
                </pic:spPr>
              </pic:pic>
            </a:graphicData>
          </a:graphic>
        </wp:inline>
      </w:drawing>
    </w:r>
  </w:p>
  <w:p w14:paraId="36741747" w14:textId="77777777" w:rsidR="007C1130" w:rsidRPr="007C1130" w:rsidRDefault="007C1130" w:rsidP="007C11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C6993" w14:textId="62D03231" w:rsidR="00EF709A" w:rsidRDefault="00EF709A" w:rsidP="00EF709A">
    <w:pPr>
      <w:pStyle w:val="Header"/>
      <w:jc w:val="right"/>
    </w:pPr>
    <w:r>
      <w:rPr>
        <w:noProof/>
      </w:rPr>
      <w:drawing>
        <wp:inline distT="0" distB="0" distL="0" distR="0" wp14:anchorId="5AE90548" wp14:editId="387C7A78">
          <wp:extent cx="871855" cy="243840"/>
          <wp:effectExtent l="0" t="0" r="4445" b="3810"/>
          <wp:docPr id="60679376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855" cy="2438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2142"/>
    <w:multiLevelType w:val="hybridMultilevel"/>
    <w:tmpl w:val="62B2C6F8"/>
    <w:lvl w:ilvl="0" w:tplc="04270019">
      <w:start w:val="1"/>
      <w:numFmt w:val="lowerLetter"/>
      <w:lvlText w:val="%1."/>
      <w:lvlJc w:val="left"/>
      <w:pPr>
        <w:ind w:left="1713" w:hanging="360"/>
      </w:pPr>
      <w:rPr>
        <w:rFonts w:hint="default"/>
      </w:rPr>
    </w:lvl>
    <w:lvl w:ilvl="1" w:tplc="FFFFFFFF">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1" w15:restartNumberingAfterBreak="0">
    <w:nsid w:val="05CB5AD2"/>
    <w:multiLevelType w:val="multilevel"/>
    <w:tmpl w:val="DBF041BC"/>
    <w:lvl w:ilvl="0">
      <w:start w:val="1"/>
      <w:numFmt w:val="decimal"/>
      <w:lvlText w:val="%1."/>
      <w:lvlJc w:val="left"/>
      <w:pPr>
        <w:ind w:left="360" w:hanging="360"/>
      </w:pPr>
      <w:rPr>
        <w:rFonts w:hint="default"/>
        <w:b/>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2" w15:restartNumberingAfterBreak="0">
    <w:nsid w:val="06300B12"/>
    <w:multiLevelType w:val="hybridMultilevel"/>
    <w:tmpl w:val="A7141FA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06B200CF"/>
    <w:multiLevelType w:val="hybridMultilevel"/>
    <w:tmpl w:val="A9269F4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6D245C4"/>
    <w:multiLevelType w:val="hybridMultilevel"/>
    <w:tmpl w:val="508464C2"/>
    <w:lvl w:ilvl="0" w:tplc="04270001">
      <w:start w:val="1"/>
      <w:numFmt w:val="bullet"/>
      <w:lvlText w:val=""/>
      <w:lvlJc w:val="left"/>
      <w:pPr>
        <w:ind w:left="1713" w:hanging="360"/>
      </w:pPr>
      <w:rPr>
        <w:rFonts w:ascii="Symbol" w:hAnsi="Symbol" w:hint="default"/>
      </w:rPr>
    </w:lvl>
    <w:lvl w:ilvl="1" w:tplc="04270003">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5" w15:restartNumberingAfterBreak="0">
    <w:nsid w:val="073E75AD"/>
    <w:multiLevelType w:val="multilevel"/>
    <w:tmpl w:val="7C8A4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425D05"/>
    <w:multiLevelType w:val="hybridMultilevel"/>
    <w:tmpl w:val="9268314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E240E2"/>
    <w:multiLevelType w:val="multilevel"/>
    <w:tmpl w:val="33BE7FF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8F0E3D"/>
    <w:multiLevelType w:val="hybridMultilevel"/>
    <w:tmpl w:val="F4F891E2"/>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FA5C1A"/>
    <w:multiLevelType w:val="hybridMultilevel"/>
    <w:tmpl w:val="71927082"/>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0" w15:restartNumberingAfterBreak="0">
    <w:nsid w:val="24CC68EE"/>
    <w:multiLevelType w:val="hybridMultilevel"/>
    <w:tmpl w:val="DEDC19F8"/>
    <w:lvl w:ilvl="0" w:tplc="04270001">
      <w:start w:val="1"/>
      <w:numFmt w:val="bullet"/>
      <w:lvlText w:val=""/>
      <w:lvlJc w:val="left"/>
      <w:pPr>
        <w:ind w:left="1713" w:hanging="360"/>
      </w:pPr>
      <w:rPr>
        <w:rFonts w:ascii="Symbol" w:hAnsi="Symbol" w:hint="default"/>
      </w:rPr>
    </w:lvl>
    <w:lvl w:ilvl="1" w:tplc="04270003">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65D0561"/>
    <w:multiLevelType w:val="multilevel"/>
    <w:tmpl w:val="08201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EB4C93"/>
    <w:multiLevelType w:val="hybridMultilevel"/>
    <w:tmpl w:val="61D825C8"/>
    <w:lvl w:ilvl="0" w:tplc="C1D6C260">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7866CC7"/>
    <w:multiLevelType w:val="hybridMultilevel"/>
    <w:tmpl w:val="299A419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2A540F54"/>
    <w:multiLevelType w:val="hybridMultilevel"/>
    <w:tmpl w:val="AC4C8214"/>
    <w:lvl w:ilvl="0" w:tplc="04270019">
      <w:start w:val="1"/>
      <w:numFmt w:val="lowerLetter"/>
      <w:lvlText w:val="%1."/>
      <w:lvlJc w:val="left"/>
      <w:pPr>
        <w:ind w:left="502" w:hanging="360"/>
      </w:pPr>
      <w:rPr>
        <w:rFonts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15" w15:restartNumberingAfterBreak="0">
    <w:nsid w:val="324F4BFE"/>
    <w:multiLevelType w:val="hybridMultilevel"/>
    <w:tmpl w:val="AE1E625E"/>
    <w:lvl w:ilvl="0" w:tplc="96EED652">
      <w:start w:val="1"/>
      <w:numFmt w:val="lowerLetter"/>
      <w:lvlText w:val="%1."/>
      <w:lvlJc w:val="left"/>
      <w:pPr>
        <w:ind w:left="1656" w:hanging="360"/>
      </w:pPr>
      <w:rPr>
        <w:rFonts w:hint="default"/>
        <w:b/>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390D6EF1"/>
    <w:multiLevelType w:val="hybridMultilevel"/>
    <w:tmpl w:val="2020D9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840CF"/>
    <w:multiLevelType w:val="hybridMultilevel"/>
    <w:tmpl w:val="71821398"/>
    <w:lvl w:ilvl="0" w:tplc="0415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322AC61E">
      <w:start w:val="1"/>
      <w:numFmt w:val="lowerLetter"/>
      <w:lvlText w:val="%3."/>
      <w:lvlJc w:val="right"/>
      <w:pPr>
        <w:ind w:left="2160" w:hanging="180"/>
      </w:pPr>
      <w:rPr>
        <w:rFonts w:asciiTheme="minorHAnsi" w:eastAsiaTheme="minorHAnsi" w:hAnsiTheme="minorHAnsi" w:cstheme="minorBidi"/>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077ED0"/>
    <w:multiLevelType w:val="hybridMultilevel"/>
    <w:tmpl w:val="E2B848E2"/>
    <w:lvl w:ilvl="0" w:tplc="35544EA8">
      <w:start w:val="1"/>
      <w:numFmt w:val="lowerLetter"/>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9" w15:restartNumberingAfterBreak="0">
    <w:nsid w:val="3DE6745A"/>
    <w:multiLevelType w:val="hybridMultilevel"/>
    <w:tmpl w:val="F4F891E2"/>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2E74AE4"/>
    <w:multiLevelType w:val="multilevel"/>
    <w:tmpl w:val="B9800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01275C"/>
    <w:multiLevelType w:val="hybridMultilevel"/>
    <w:tmpl w:val="37DE98A0"/>
    <w:lvl w:ilvl="0" w:tplc="E648FED0">
      <w:start w:val="1"/>
      <w:numFmt w:val="lowerLetter"/>
      <w:lvlText w:val="%1."/>
      <w:lvlJc w:val="left"/>
      <w:pPr>
        <w:ind w:left="720" w:hanging="360"/>
      </w:pPr>
      <w:rPr>
        <w:rFonts w:ascii="Calibri" w:hAnsi="Calibr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9E0715"/>
    <w:multiLevelType w:val="multilevel"/>
    <w:tmpl w:val="D05A9C14"/>
    <w:lvl w:ilvl="0">
      <w:start w:val="1"/>
      <w:numFmt w:val="decimal"/>
      <w:lvlText w:val="%1."/>
      <w:lvlJc w:val="left"/>
      <w:pPr>
        <w:ind w:left="420" w:hanging="420"/>
      </w:pPr>
      <w:rPr>
        <w:rFonts w:hint="default"/>
      </w:rPr>
    </w:lvl>
    <w:lvl w:ilvl="1">
      <w:start w:val="1"/>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3" w15:restartNumberingAfterBreak="0">
    <w:nsid w:val="4B203F52"/>
    <w:multiLevelType w:val="multilevel"/>
    <w:tmpl w:val="F984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205F00"/>
    <w:multiLevelType w:val="multilevel"/>
    <w:tmpl w:val="AC70B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0713E3"/>
    <w:multiLevelType w:val="hybridMultilevel"/>
    <w:tmpl w:val="F4F891E2"/>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0EB7F53"/>
    <w:multiLevelType w:val="hybridMultilevel"/>
    <w:tmpl w:val="92289F2C"/>
    <w:lvl w:ilvl="0" w:tplc="FFFFFFFF">
      <w:numFmt w:val="bullet"/>
      <w:lvlText w:val="-"/>
      <w:lvlJc w:val="left"/>
      <w:pPr>
        <w:ind w:left="1494" w:hanging="360"/>
      </w:pPr>
      <w:rPr>
        <w:rFonts w:ascii="Calibri" w:eastAsiaTheme="minorHAnsi" w:hAnsi="Calibri" w:cs="Calibri" w:hint="default"/>
      </w:rPr>
    </w:lvl>
    <w:lvl w:ilvl="1" w:tplc="8FF8A47C">
      <w:numFmt w:val="bullet"/>
      <w:lvlText w:val="-"/>
      <w:lvlJc w:val="left"/>
      <w:pPr>
        <w:ind w:left="2214" w:hanging="360"/>
      </w:pPr>
      <w:rPr>
        <w:rFonts w:ascii="Calibri" w:eastAsiaTheme="minorHAnsi" w:hAnsi="Calibri" w:cs="Calibri"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27" w15:restartNumberingAfterBreak="0">
    <w:nsid w:val="52F9541F"/>
    <w:multiLevelType w:val="hybridMultilevel"/>
    <w:tmpl w:val="BCA4845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5E5231BE"/>
    <w:multiLevelType w:val="hybridMultilevel"/>
    <w:tmpl w:val="E1201CF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8A04D7"/>
    <w:multiLevelType w:val="hybridMultilevel"/>
    <w:tmpl w:val="62B2C6F8"/>
    <w:lvl w:ilvl="0" w:tplc="FFFFFFFF">
      <w:start w:val="1"/>
      <w:numFmt w:val="lowerLetter"/>
      <w:lvlText w:val="%1."/>
      <w:lvlJc w:val="left"/>
      <w:pPr>
        <w:ind w:left="1713" w:hanging="360"/>
      </w:pPr>
      <w:rPr>
        <w:rFonts w:hint="default"/>
      </w:rPr>
    </w:lvl>
    <w:lvl w:ilvl="1" w:tplc="FFFFFFFF">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0" w15:restartNumberingAfterBreak="0">
    <w:nsid w:val="60D811AA"/>
    <w:multiLevelType w:val="hybridMultilevel"/>
    <w:tmpl w:val="CA6AC0C4"/>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31" w15:restartNumberingAfterBreak="0">
    <w:nsid w:val="6A905279"/>
    <w:multiLevelType w:val="hybridMultilevel"/>
    <w:tmpl w:val="63B0B542"/>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2" w15:restartNumberingAfterBreak="0">
    <w:nsid w:val="6B881FE0"/>
    <w:multiLevelType w:val="hybridMultilevel"/>
    <w:tmpl w:val="0240CB2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3986EC2"/>
    <w:multiLevelType w:val="hybridMultilevel"/>
    <w:tmpl w:val="AD7873C4"/>
    <w:lvl w:ilvl="0" w:tplc="8FF8A47C">
      <w:numFmt w:val="bullet"/>
      <w:lvlText w:val="-"/>
      <w:lvlJc w:val="left"/>
      <w:pPr>
        <w:ind w:left="1494" w:hanging="360"/>
      </w:pPr>
      <w:rPr>
        <w:rFonts w:ascii="Calibri" w:eastAsiaTheme="minorHAnsi" w:hAnsi="Calibri" w:cs="Calibri" w:hint="default"/>
      </w:rPr>
    </w:lvl>
    <w:lvl w:ilvl="1" w:tplc="04270003">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34" w15:restartNumberingAfterBreak="0">
    <w:nsid w:val="73FF555E"/>
    <w:multiLevelType w:val="hybridMultilevel"/>
    <w:tmpl w:val="668C8A0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35" w15:restartNumberingAfterBreak="0">
    <w:nsid w:val="77F67D98"/>
    <w:multiLevelType w:val="multilevel"/>
    <w:tmpl w:val="0F6AA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810AEE"/>
    <w:multiLevelType w:val="hybridMultilevel"/>
    <w:tmpl w:val="466AAF3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C202EC2"/>
    <w:multiLevelType w:val="hybridMultilevel"/>
    <w:tmpl w:val="D022203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8" w15:restartNumberingAfterBreak="0">
    <w:nsid w:val="7DA85FC8"/>
    <w:multiLevelType w:val="hybridMultilevel"/>
    <w:tmpl w:val="F9E201BA"/>
    <w:lvl w:ilvl="0" w:tplc="86C6BC36">
      <w:start w:val="1"/>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2144812486">
    <w:abstractNumId w:val="7"/>
  </w:num>
  <w:num w:numId="2" w16cid:durableId="580914676">
    <w:abstractNumId w:val="37"/>
  </w:num>
  <w:num w:numId="3" w16cid:durableId="1932152989">
    <w:abstractNumId w:val="30"/>
  </w:num>
  <w:num w:numId="4" w16cid:durableId="2070879621">
    <w:abstractNumId w:val="10"/>
  </w:num>
  <w:num w:numId="5" w16cid:durableId="1006981600">
    <w:abstractNumId w:val="33"/>
  </w:num>
  <w:num w:numId="6" w16cid:durableId="206307940">
    <w:abstractNumId w:val="34"/>
  </w:num>
  <w:num w:numId="7" w16cid:durableId="1848324752">
    <w:abstractNumId w:val="4"/>
  </w:num>
  <w:num w:numId="8" w16cid:durableId="1456607668">
    <w:abstractNumId w:val="20"/>
  </w:num>
  <w:num w:numId="9" w16cid:durableId="698506257">
    <w:abstractNumId w:val="35"/>
  </w:num>
  <w:num w:numId="10" w16cid:durableId="1768191959">
    <w:abstractNumId w:val="24"/>
  </w:num>
  <w:num w:numId="11" w16cid:durableId="1816413981">
    <w:abstractNumId w:val="23"/>
  </w:num>
  <w:num w:numId="12" w16cid:durableId="235284169">
    <w:abstractNumId w:val="5"/>
  </w:num>
  <w:num w:numId="13" w16cid:durableId="739407802">
    <w:abstractNumId w:val="11"/>
  </w:num>
  <w:num w:numId="14" w16cid:durableId="2145080510">
    <w:abstractNumId w:val="27"/>
  </w:num>
  <w:num w:numId="15" w16cid:durableId="1385641385">
    <w:abstractNumId w:val="12"/>
  </w:num>
  <w:num w:numId="16" w16cid:durableId="1677607204">
    <w:abstractNumId w:val="26"/>
  </w:num>
  <w:num w:numId="17" w16cid:durableId="1737510841">
    <w:abstractNumId w:val="16"/>
  </w:num>
  <w:num w:numId="18" w16cid:durableId="859050845">
    <w:abstractNumId w:val="2"/>
  </w:num>
  <w:num w:numId="19" w16cid:durableId="277762234">
    <w:abstractNumId w:val="13"/>
  </w:num>
  <w:num w:numId="20" w16cid:durableId="607660842">
    <w:abstractNumId w:val="22"/>
  </w:num>
  <w:num w:numId="21" w16cid:durableId="1646665228">
    <w:abstractNumId w:val="28"/>
  </w:num>
  <w:num w:numId="22" w16cid:durableId="1304387549">
    <w:abstractNumId w:val="36"/>
  </w:num>
  <w:num w:numId="23" w16cid:durableId="338388828">
    <w:abstractNumId w:val="1"/>
  </w:num>
  <w:num w:numId="24" w16cid:durableId="2056806023">
    <w:abstractNumId w:val="9"/>
  </w:num>
  <w:num w:numId="25" w16cid:durableId="1572889013">
    <w:abstractNumId w:val="17"/>
  </w:num>
  <w:num w:numId="26" w16cid:durableId="1629897976">
    <w:abstractNumId w:val="8"/>
  </w:num>
  <w:num w:numId="27" w16cid:durableId="1194079890">
    <w:abstractNumId w:val="15"/>
  </w:num>
  <w:num w:numId="28" w16cid:durableId="14233640">
    <w:abstractNumId w:val="18"/>
  </w:num>
  <w:num w:numId="29" w16cid:durableId="1196164027">
    <w:abstractNumId w:val="6"/>
  </w:num>
  <w:num w:numId="30" w16cid:durableId="1760439967">
    <w:abstractNumId w:val="38"/>
  </w:num>
  <w:num w:numId="31" w16cid:durableId="722143736">
    <w:abstractNumId w:val="0"/>
  </w:num>
  <w:num w:numId="32" w16cid:durableId="705758376">
    <w:abstractNumId w:val="25"/>
  </w:num>
  <w:num w:numId="33" w16cid:durableId="66853625">
    <w:abstractNumId w:val="32"/>
  </w:num>
  <w:num w:numId="34" w16cid:durableId="795292839">
    <w:abstractNumId w:val="3"/>
  </w:num>
  <w:num w:numId="35" w16cid:durableId="1595016431">
    <w:abstractNumId w:val="19"/>
  </w:num>
  <w:num w:numId="36" w16cid:durableId="1437750214">
    <w:abstractNumId w:val="29"/>
  </w:num>
  <w:num w:numId="37" w16cid:durableId="310132969">
    <w:abstractNumId w:val="31"/>
  </w:num>
  <w:num w:numId="38" w16cid:durableId="285743454">
    <w:abstractNumId w:val="21"/>
  </w:num>
  <w:num w:numId="39" w16cid:durableId="751127402">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83"/>
    <w:rsid w:val="000007DF"/>
    <w:rsid w:val="0000242E"/>
    <w:rsid w:val="000075EC"/>
    <w:rsid w:val="00010102"/>
    <w:rsid w:val="0001227C"/>
    <w:rsid w:val="0001524E"/>
    <w:rsid w:val="00015772"/>
    <w:rsid w:val="00015F34"/>
    <w:rsid w:val="00016704"/>
    <w:rsid w:val="000176BB"/>
    <w:rsid w:val="000206FB"/>
    <w:rsid w:val="00020A60"/>
    <w:rsid w:val="00020E7F"/>
    <w:rsid w:val="000253F3"/>
    <w:rsid w:val="00033931"/>
    <w:rsid w:val="00033D12"/>
    <w:rsid w:val="0003694B"/>
    <w:rsid w:val="00036E0C"/>
    <w:rsid w:val="000378F9"/>
    <w:rsid w:val="00037D6B"/>
    <w:rsid w:val="000418C5"/>
    <w:rsid w:val="0004224C"/>
    <w:rsid w:val="0004378E"/>
    <w:rsid w:val="000460CD"/>
    <w:rsid w:val="00051AFD"/>
    <w:rsid w:val="00052B84"/>
    <w:rsid w:val="00053D4C"/>
    <w:rsid w:val="00053FF8"/>
    <w:rsid w:val="00061E6C"/>
    <w:rsid w:val="00062DE1"/>
    <w:rsid w:val="0006349A"/>
    <w:rsid w:val="0006506D"/>
    <w:rsid w:val="00066D04"/>
    <w:rsid w:val="00067199"/>
    <w:rsid w:val="0006742A"/>
    <w:rsid w:val="00067F7F"/>
    <w:rsid w:val="00070CF2"/>
    <w:rsid w:val="00072ABF"/>
    <w:rsid w:val="00072BB4"/>
    <w:rsid w:val="00074002"/>
    <w:rsid w:val="00074293"/>
    <w:rsid w:val="00075F64"/>
    <w:rsid w:val="00076807"/>
    <w:rsid w:val="0007687D"/>
    <w:rsid w:val="000770FF"/>
    <w:rsid w:val="00080053"/>
    <w:rsid w:val="00080252"/>
    <w:rsid w:val="00081A6F"/>
    <w:rsid w:val="00082669"/>
    <w:rsid w:val="000861AB"/>
    <w:rsid w:val="00086240"/>
    <w:rsid w:val="00086B50"/>
    <w:rsid w:val="000901E9"/>
    <w:rsid w:val="000905F9"/>
    <w:rsid w:val="00092A87"/>
    <w:rsid w:val="0009319A"/>
    <w:rsid w:val="000957A9"/>
    <w:rsid w:val="00097777"/>
    <w:rsid w:val="00097D99"/>
    <w:rsid w:val="000A0BD5"/>
    <w:rsid w:val="000A0D2B"/>
    <w:rsid w:val="000A1E43"/>
    <w:rsid w:val="000A211E"/>
    <w:rsid w:val="000A2515"/>
    <w:rsid w:val="000A3198"/>
    <w:rsid w:val="000A3338"/>
    <w:rsid w:val="000A46AE"/>
    <w:rsid w:val="000A476A"/>
    <w:rsid w:val="000A576B"/>
    <w:rsid w:val="000A5822"/>
    <w:rsid w:val="000A604F"/>
    <w:rsid w:val="000B4DDA"/>
    <w:rsid w:val="000C24F6"/>
    <w:rsid w:val="000C5BF2"/>
    <w:rsid w:val="000C6E67"/>
    <w:rsid w:val="000C6EF4"/>
    <w:rsid w:val="000C6F86"/>
    <w:rsid w:val="000D07BD"/>
    <w:rsid w:val="000D1224"/>
    <w:rsid w:val="000D3D26"/>
    <w:rsid w:val="000D5581"/>
    <w:rsid w:val="000D6E71"/>
    <w:rsid w:val="000E0537"/>
    <w:rsid w:val="000E1806"/>
    <w:rsid w:val="000E1D77"/>
    <w:rsid w:val="000E2DD8"/>
    <w:rsid w:val="000E3021"/>
    <w:rsid w:val="000E3BE7"/>
    <w:rsid w:val="000E5684"/>
    <w:rsid w:val="000E766B"/>
    <w:rsid w:val="000E7DFF"/>
    <w:rsid w:val="000F035B"/>
    <w:rsid w:val="000F09FA"/>
    <w:rsid w:val="000F2112"/>
    <w:rsid w:val="000F2770"/>
    <w:rsid w:val="000F2EC5"/>
    <w:rsid w:val="000F40BC"/>
    <w:rsid w:val="000F467D"/>
    <w:rsid w:val="000F4937"/>
    <w:rsid w:val="000F638F"/>
    <w:rsid w:val="001002FE"/>
    <w:rsid w:val="001006CC"/>
    <w:rsid w:val="00100FF6"/>
    <w:rsid w:val="00103F85"/>
    <w:rsid w:val="0010541F"/>
    <w:rsid w:val="00105C0F"/>
    <w:rsid w:val="00106281"/>
    <w:rsid w:val="00107082"/>
    <w:rsid w:val="00110C0C"/>
    <w:rsid w:val="00111300"/>
    <w:rsid w:val="001121BD"/>
    <w:rsid w:val="001125E8"/>
    <w:rsid w:val="00114A0B"/>
    <w:rsid w:val="00115D76"/>
    <w:rsid w:val="00116574"/>
    <w:rsid w:val="00116D75"/>
    <w:rsid w:val="001206F0"/>
    <w:rsid w:val="00122142"/>
    <w:rsid w:val="0012460F"/>
    <w:rsid w:val="001252C0"/>
    <w:rsid w:val="00127983"/>
    <w:rsid w:val="00131013"/>
    <w:rsid w:val="00131D64"/>
    <w:rsid w:val="001320D2"/>
    <w:rsid w:val="0013619F"/>
    <w:rsid w:val="0013701C"/>
    <w:rsid w:val="00137AF8"/>
    <w:rsid w:val="0014220A"/>
    <w:rsid w:val="001436CB"/>
    <w:rsid w:val="00144A1D"/>
    <w:rsid w:val="00144F0D"/>
    <w:rsid w:val="00145181"/>
    <w:rsid w:val="00145779"/>
    <w:rsid w:val="00145A59"/>
    <w:rsid w:val="00145DEF"/>
    <w:rsid w:val="00146060"/>
    <w:rsid w:val="00150EEF"/>
    <w:rsid w:val="0015177C"/>
    <w:rsid w:val="00152591"/>
    <w:rsid w:val="00153BF3"/>
    <w:rsid w:val="00153D09"/>
    <w:rsid w:val="00154D0D"/>
    <w:rsid w:val="00162170"/>
    <w:rsid w:val="00162536"/>
    <w:rsid w:val="00162DD6"/>
    <w:rsid w:val="001638A4"/>
    <w:rsid w:val="0016544D"/>
    <w:rsid w:val="0016564B"/>
    <w:rsid w:val="00166381"/>
    <w:rsid w:val="00171820"/>
    <w:rsid w:val="001719ED"/>
    <w:rsid w:val="001737A4"/>
    <w:rsid w:val="00173E2A"/>
    <w:rsid w:val="00175908"/>
    <w:rsid w:val="00175BE6"/>
    <w:rsid w:val="00175F25"/>
    <w:rsid w:val="00176A09"/>
    <w:rsid w:val="001805EE"/>
    <w:rsid w:val="00183936"/>
    <w:rsid w:val="00184588"/>
    <w:rsid w:val="00184EF5"/>
    <w:rsid w:val="00190D6A"/>
    <w:rsid w:val="00191642"/>
    <w:rsid w:val="0019349B"/>
    <w:rsid w:val="00193847"/>
    <w:rsid w:val="0019400D"/>
    <w:rsid w:val="001951BB"/>
    <w:rsid w:val="001956B0"/>
    <w:rsid w:val="00196082"/>
    <w:rsid w:val="0019645E"/>
    <w:rsid w:val="00196B6D"/>
    <w:rsid w:val="00196DE1"/>
    <w:rsid w:val="0019B709"/>
    <w:rsid w:val="001A1416"/>
    <w:rsid w:val="001A1A2A"/>
    <w:rsid w:val="001A2018"/>
    <w:rsid w:val="001A5F6A"/>
    <w:rsid w:val="001A6A16"/>
    <w:rsid w:val="001A733E"/>
    <w:rsid w:val="001B0621"/>
    <w:rsid w:val="001B395C"/>
    <w:rsid w:val="001B47AF"/>
    <w:rsid w:val="001B56BB"/>
    <w:rsid w:val="001B62B5"/>
    <w:rsid w:val="001B6BCC"/>
    <w:rsid w:val="001B6C0A"/>
    <w:rsid w:val="001C17BF"/>
    <w:rsid w:val="001C1F76"/>
    <w:rsid w:val="001C2402"/>
    <w:rsid w:val="001C2663"/>
    <w:rsid w:val="001C2EE0"/>
    <w:rsid w:val="001C6363"/>
    <w:rsid w:val="001D0F8C"/>
    <w:rsid w:val="001D3544"/>
    <w:rsid w:val="001D4ABF"/>
    <w:rsid w:val="001D54CA"/>
    <w:rsid w:val="001D71D2"/>
    <w:rsid w:val="001E0644"/>
    <w:rsid w:val="001E0D71"/>
    <w:rsid w:val="001E1322"/>
    <w:rsid w:val="001E3310"/>
    <w:rsid w:val="001E44AF"/>
    <w:rsid w:val="001E6473"/>
    <w:rsid w:val="001E7072"/>
    <w:rsid w:val="001E7319"/>
    <w:rsid w:val="001F09EA"/>
    <w:rsid w:val="001F46A5"/>
    <w:rsid w:val="001F5559"/>
    <w:rsid w:val="001F71D9"/>
    <w:rsid w:val="002002BE"/>
    <w:rsid w:val="00203B79"/>
    <w:rsid w:val="00204D60"/>
    <w:rsid w:val="0020749F"/>
    <w:rsid w:val="0020766A"/>
    <w:rsid w:val="00207D4B"/>
    <w:rsid w:val="0021190B"/>
    <w:rsid w:val="00211CAF"/>
    <w:rsid w:val="00212356"/>
    <w:rsid w:val="00215CEB"/>
    <w:rsid w:val="002175D3"/>
    <w:rsid w:val="0022151C"/>
    <w:rsid w:val="00222D6D"/>
    <w:rsid w:val="0022406B"/>
    <w:rsid w:val="00224369"/>
    <w:rsid w:val="00226512"/>
    <w:rsid w:val="00226973"/>
    <w:rsid w:val="00227D96"/>
    <w:rsid w:val="0023166C"/>
    <w:rsid w:val="002324A8"/>
    <w:rsid w:val="00232547"/>
    <w:rsid w:val="00235137"/>
    <w:rsid w:val="00236D7D"/>
    <w:rsid w:val="002404E3"/>
    <w:rsid w:val="00241ED3"/>
    <w:rsid w:val="00246584"/>
    <w:rsid w:val="00246F67"/>
    <w:rsid w:val="00247C0F"/>
    <w:rsid w:val="0025330E"/>
    <w:rsid w:val="002535E7"/>
    <w:rsid w:val="002537A9"/>
    <w:rsid w:val="0025551D"/>
    <w:rsid w:val="00255B5A"/>
    <w:rsid w:val="00260252"/>
    <w:rsid w:val="00262A25"/>
    <w:rsid w:val="002637F2"/>
    <w:rsid w:val="00267215"/>
    <w:rsid w:val="00270775"/>
    <w:rsid w:val="00270D81"/>
    <w:rsid w:val="00270F89"/>
    <w:rsid w:val="00273FEE"/>
    <w:rsid w:val="00275EBD"/>
    <w:rsid w:val="0027614C"/>
    <w:rsid w:val="0028030A"/>
    <w:rsid w:val="002806FA"/>
    <w:rsid w:val="00280A84"/>
    <w:rsid w:val="00280F5A"/>
    <w:rsid w:val="00281E11"/>
    <w:rsid w:val="00282998"/>
    <w:rsid w:val="002855E9"/>
    <w:rsid w:val="00285F60"/>
    <w:rsid w:val="00286472"/>
    <w:rsid w:val="00286CC2"/>
    <w:rsid w:val="002872FC"/>
    <w:rsid w:val="002919D5"/>
    <w:rsid w:val="00296C68"/>
    <w:rsid w:val="00297D9C"/>
    <w:rsid w:val="002A08FC"/>
    <w:rsid w:val="002A0AB3"/>
    <w:rsid w:val="002A16A6"/>
    <w:rsid w:val="002A2FBE"/>
    <w:rsid w:val="002A4016"/>
    <w:rsid w:val="002A518E"/>
    <w:rsid w:val="002B2F38"/>
    <w:rsid w:val="002B5E9D"/>
    <w:rsid w:val="002B75C5"/>
    <w:rsid w:val="002C02D1"/>
    <w:rsid w:val="002C2E06"/>
    <w:rsid w:val="002C33E3"/>
    <w:rsid w:val="002C399B"/>
    <w:rsid w:val="002C464C"/>
    <w:rsid w:val="002C5DE2"/>
    <w:rsid w:val="002C6921"/>
    <w:rsid w:val="002C7E77"/>
    <w:rsid w:val="002D0474"/>
    <w:rsid w:val="002D0737"/>
    <w:rsid w:val="002D1FBE"/>
    <w:rsid w:val="002D2496"/>
    <w:rsid w:val="002D41BA"/>
    <w:rsid w:val="002D5549"/>
    <w:rsid w:val="002D607F"/>
    <w:rsid w:val="002D77D2"/>
    <w:rsid w:val="002E00FE"/>
    <w:rsid w:val="002E641E"/>
    <w:rsid w:val="002E6C29"/>
    <w:rsid w:val="002E7075"/>
    <w:rsid w:val="002E7150"/>
    <w:rsid w:val="002F11BD"/>
    <w:rsid w:val="002F19CE"/>
    <w:rsid w:val="002F350A"/>
    <w:rsid w:val="002F3E4F"/>
    <w:rsid w:val="002F430C"/>
    <w:rsid w:val="002F49BF"/>
    <w:rsid w:val="002F4A16"/>
    <w:rsid w:val="002F6AE1"/>
    <w:rsid w:val="002F6BB4"/>
    <w:rsid w:val="002F7B7A"/>
    <w:rsid w:val="003038F7"/>
    <w:rsid w:val="003041C5"/>
    <w:rsid w:val="00305263"/>
    <w:rsid w:val="0030582F"/>
    <w:rsid w:val="00306913"/>
    <w:rsid w:val="0031106D"/>
    <w:rsid w:val="00311625"/>
    <w:rsid w:val="003158A5"/>
    <w:rsid w:val="003169F5"/>
    <w:rsid w:val="003172FC"/>
    <w:rsid w:val="00320108"/>
    <w:rsid w:val="003203CA"/>
    <w:rsid w:val="00320706"/>
    <w:rsid w:val="00321D4C"/>
    <w:rsid w:val="00323423"/>
    <w:rsid w:val="003234F5"/>
    <w:rsid w:val="003234F9"/>
    <w:rsid w:val="0032363B"/>
    <w:rsid w:val="00323AEF"/>
    <w:rsid w:val="003242D6"/>
    <w:rsid w:val="00327182"/>
    <w:rsid w:val="00331B2E"/>
    <w:rsid w:val="00333865"/>
    <w:rsid w:val="00333C73"/>
    <w:rsid w:val="0033676E"/>
    <w:rsid w:val="00337B96"/>
    <w:rsid w:val="00340BF3"/>
    <w:rsid w:val="00344313"/>
    <w:rsid w:val="00345959"/>
    <w:rsid w:val="00345DBA"/>
    <w:rsid w:val="00346DF7"/>
    <w:rsid w:val="0034746C"/>
    <w:rsid w:val="00351C08"/>
    <w:rsid w:val="0035239C"/>
    <w:rsid w:val="00353813"/>
    <w:rsid w:val="00356F42"/>
    <w:rsid w:val="003606D7"/>
    <w:rsid w:val="00360BD0"/>
    <w:rsid w:val="00361057"/>
    <w:rsid w:val="003612F4"/>
    <w:rsid w:val="003631A2"/>
    <w:rsid w:val="00370E8C"/>
    <w:rsid w:val="00370FE6"/>
    <w:rsid w:val="003724E1"/>
    <w:rsid w:val="00375E07"/>
    <w:rsid w:val="00375E9F"/>
    <w:rsid w:val="003770BE"/>
    <w:rsid w:val="00377583"/>
    <w:rsid w:val="00380245"/>
    <w:rsid w:val="00380602"/>
    <w:rsid w:val="00380CB0"/>
    <w:rsid w:val="00380F68"/>
    <w:rsid w:val="00384C8B"/>
    <w:rsid w:val="003850CC"/>
    <w:rsid w:val="00386462"/>
    <w:rsid w:val="00386786"/>
    <w:rsid w:val="0039062B"/>
    <w:rsid w:val="003906FB"/>
    <w:rsid w:val="00390C7C"/>
    <w:rsid w:val="00392AAD"/>
    <w:rsid w:val="003941F1"/>
    <w:rsid w:val="003945D9"/>
    <w:rsid w:val="003A0219"/>
    <w:rsid w:val="003A196E"/>
    <w:rsid w:val="003A2662"/>
    <w:rsid w:val="003A3D7A"/>
    <w:rsid w:val="003A586A"/>
    <w:rsid w:val="003A6037"/>
    <w:rsid w:val="003A62DF"/>
    <w:rsid w:val="003A7952"/>
    <w:rsid w:val="003B1231"/>
    <w:rsid w:val="003B1E64"/>
    <w:rsid w:val="003B228A"/>
    <w:rsid w:val="003B2D14"/>
    <w:rsid w:val="003B36D9"/>
    <w:rsid w:val="003B4862"/>
    <w:rsid w:val="003B4E96"/>
    <w:rsid w:val="003B5A6E"/>
    <w:rsid w:val="003B699D"/>
    <w:rsid w:val="003B79D1"/>
    <w:rsid w:val="003C261C"/>
    <w:rsid w:val="003C4B5E"/>
    <w:rsid w:val="003C51B1"/>
    <w:rsid w:val="003D0529"/>
    <w:rsid w:val="003D0D93"/>
    <w:rsid w:val="003D3722"/>
    <w:rsid w:val="003D4E36"/>
    <w:rsid w:val="003D5003"/>
    <w:rsid w:val="003D552F"/>
    <w:rsid w:val="003E2814"/>
    <w:rsid w:val="003E3489"/>
    <w:rsid w:val="003E3566"/>
    <w:rsid w:val="003E4F83"/>
    <w:rsid w:val="003E748C"/>
    <w:rsid w:val="003E7F85"/>
    <w:rsid w:val="003F1736"/>
    <w:rsid w:val="003F3D8B"/>
    <w:rsid w:val="003F5B33"/>
    <w:rsid w:val="003F7823"/>
    <w:rsid w:val="0040156A"/>
    <w:rsid w:val="0040370E"/>
    <w:rsid w:val="00403E03"/>
    <w:rsid w:val="00405576"/>
    <w:rsid w:val="00405790"/>
    <w:rsid w:val="004100E2"/>
    <w:rsid w:val="004108E2"/>
    <w:rsid w:val="0041373D"/>
    <w:rsid w:val="00413E02"/>
    <w:rsid w:val="0041461F"/>
    <w:rsid w:val="004172CE"/>
    <w:rsid w:val="0042164A"/>
    <w:rsid w:val="00421AA0"/>
    <w:rsid w:val="00421C93"/>
    <w:rsid w:val="0042599B"/>
    <w:rsid w:val="004301DC"/>
    <w:rsid w:val="00431ADD"/>
    <w:rsid w:val="00433959"/>
    <w:rsid w:val="00434A6D"/>
    <w:rsid w:val="00435333"/>
    <w:rsid w:val="00437BCA"/>
    <w:rsid w:val="00441E07"/>
    <w:rsid w:val="004428F6"/>
    <w:rsid w:val="00442CA0"/>
    <w:rsid w:val="004440E5"/>
    <w:rsid w:val="00444FC8"/>
    <w:rsid w:val="004469B2"/>
    <w:rsid w:val="00450C28"/>
    <w:rsid w:val="00450DE5"/>
    <w:rsid w:val="00452490"/>
    <w:rsid w:val="0045360D"/>
    <w:rsid w:val="00453CE7"/>
    <w:rsid w:val="00454C75"/>
    <w:rsid w:val="00454E85"/>
    <w:rsid w:val="00456DFD"/>
    <w:rsid w:val="004577C3"/>
    <w:rsid w:val="00463A4B"/>
    <w:rsid w:val="00464921"/>
    <w:rsid w:val="004660C7"/>
    <w:rsid w:val="00470293"/>
    <w:rsid w:val="004714E7"/>
    <w:rsid w:val="00471F5A"/>
    <w:rsid w:val="00472A1F"/>
    <w:rsid w:val="00472A62"/>
    <w:rsid w:val="00472F72"/>
    <w:rsid w:val="00475A9E"/>
    <w:rsid w:val="00476A89"/>
    <w:rsid w:val="00476B7E"/>
    <w:rsid w:val="00481761"/>
    <w:rsid w:val="004819AA"/>
    <w:rsid w:val="00481A23"/>
    <w:rsid w:val="0048458D"/>
    <w:rsid w:val="00484BF3"/>
    <w:rsid w:val="00485B14"/>
    <w:rsid w:val="00486B6E"/>
    <w:rsid w:val="00486D90"/>
    <w:rsid w:val="00487C16"/>
    <w:rsid w:val="0049023E"/>
    <w:rsid w:val="004957F4"/>
    <w:rsid w:val="00496FB1"/>
    <w:rsid w:val="004A1836"/>
    <w:rsid w:val="004A4553"/>
    <w:rsid w:val="004A58CF"/>
    <w:rsid w:val="004A5BA2"/>
    <w:rsid w:val="004B08AC"/>
    <w:rsid w:val="004B1266"/>
    <w:rsid w:val="004B1642"/>
    <w:rsid w:val="004B1783"/>
    <w:rsid w:val="004B299C"/>
    <w:rsid w:val="004B2EE1"/>
    <w:rsid w:val="004B3529"/>
    <w:rsid w:val="004B50AE"/>
    <w:rsid w:val="004B60C1"/>
    <w:rsid w:val="004B7ABE"/>
    <w:rsid w:val="004C0440"/>
    <w:rsid w:val="004C36FC"/>
    <w:rsid w:val="004C70D0"/>
    <w:rsid w:val="004C7DC0"/>
    <w:rsid w:val="004D0809"/>
    <w:rsid w:val="004D272F"/>
    <w:rsid w:val="004D2796"/>
    <w:rsid w:val="004D7F10"/>
    <w:rsid w:val="004E0233"/>
    <w:rsid w:val="004E1487"/>
    <w:rsid w:val="004E17ED"/>
    <w:rsid w:val="004E1BC1"/>
    <w:rsid w:val="004E3759"/>
    <w:rsid w:val="004E48D8"/>
    <w:rsid w:val="004E5286"/>
    <w:rsid w:val="004E552C"/>
    <w:rsid w:val="004E631F"/>
    <w:rsid w:val="004E67BC"/>
    <w:rsid w:val="004F0827"/>
    <w:rsid w:val="004F3FA1"/>
    <w:rsid w:val="004F7A89"/>
    <w:rsid w:val="005008B5"/>
    <w:rsid w:val="00502CE5"/>
    <w:rsid w:val="00502F76"/>
    <w:rsid w:val="005039F2"/>
    <w:rsid w:val="005052E0"/>
    <w:rsid w:val="00507A67"/>
    <w:rsid w:val="00507A76"/>
    <w:rsid w:val="00510A80"/>
    <w:rsid w:val="00510D77"/>
    <w:rsid w:val="00511DDA"/>
    <w:rsid w:val="00512042"/>
    <w:rsid w:val="00512F05"/>
    <w:rsid w:val="005161B9"/>
    <w:rsid w:val="00516471"/>
    <w:rsid w:val="005168F1"/>
    <w:rsid w:val="00517A6D"/>
    <w:rsid w:val="005218AD"/>
    <w:rsid w:val="00521B4B"/>
    <w:rsid w:val="00522192"/>
    <w:rsid w:val="00522D08"/>
    <w:rsid w:val="00524880"/>
    <w:rsid w:val="00524AA4"/>
    <w:rsid w:val="00524DD9"/>
    <w:rsid w:val="00525CF3"/>
    <w:rsid w:val="0052713A"/>
    <w:rsid w:val="00527E46"/>
    <w:rsid w:val="005300E2"/>
    <w:rsid w:val="00533856"/>
    <w:rsid w:val="00535E25"/>
    <w:rsid w:val="0053633B"/>
    <w:rsid w:val="005366CA"/>
    <w:rsid w:val="0053751D"/>
    <w:rsid w:val="00540AEC"/>
    <w:rsid w:val="00546A16"/>
    <w:rsid w:val="005473AF"/>
    <w:rsid w:val="005515CE"/>
    <w:rsid w:val="00552918"/>
    <w:rsid w:val="00552A29"/>
    <w:rsid w:val="00553A34"/>
    <w:rsid w:val="00553A37"/>
    <w:rsid w:val="00553B69"/>
    <w:rsid w:val="00554C1F"/>
    <w:rsid w:val="00555DBE"/>
    <w:rsid w:val="0055661E"/>
    <w:rsid w:val="0055722E"/>
    <w:rsid w:val="00557E10"/>
    <w:rsid w:val="0056057B"/>
    <w:rsid w:val="00561373"/>
    <w:rsid w:val="00563CC9"/>
    <w:rsid w:val="0056463D"/>
    <w:rsid w:val="005648D4"/>
    <w:rsid w:val="005713F9"/>
    <w:rsid w:val="0057181D"/>
    <w:rsid w:val="00572828"/>
    <w:rsid w:val="00573B8A"/>
    <w:rsid w:val="005742EF"/>
    <w:rsid w:val="0057514A"/>
    <w:rsid w:val="005821AA"/>
    <w:rsid w:val="0058370F"/>
    <w:rsid w:val="0058408C"/>
    <w:rsid w:val="005841C9"/>
    <w:rsid w:val="00585CD2"/>
    <w:rsid w:val="0058790C"/>
    <w:rsid w:val="005908AC"/>
    <w:rsid w:val="005910FC"/>
    <w:rsid w:val="005915B1"/>
    <w:rsid w:val="0059160B"/>
    <w:rsid w:val="00593DD1"/>
    <w:rsid w:val="00593E31"/>
    <w:rsid w:val="00593E71"/>
    <w:rsid w:val="00596704"/>
    <w:rsid w:val="00597012"/>
    <w:rsid w:val="005974D7"/>
    <w:rsid w:val="00597D34"/>
    <w:rsid w:val="005A02DD"/>
    <w:rsid w:val="005A07D6"/>
    <w:rsid w:val="005A0F72"/>
    <w:rsid w:val="005A1746"/>
    <w:rsid w:val="005A1F60"/>
    <w:rsid w:val="005A538E"/>
    <w:rsid w:val="005B00BC"/>
    <w:rsid w:val="005B04BB"/>
    <w:rsid w:val="005B0B9B"/>
    <w:rsid w:val="005B19A3"/>
    <w:rsid w:val="005B24AA"/>
    <w:rsid w:val="005B5679"/>
    <w:rsid w:val="005B7B58"/>
    <w:rsid w:val="005B7CB8"/>
    <w:rsid w:val="005C0AFA"/>
    <w:rsid w:val="005C14B7"/>
    <w:rsid w:val="005C32BB"/>
    <w:rsid w:val="005C510C"/>
    <w:rsid w:val="005C5158"/>
    <w:rsid w:val="005C6638"/>
    <w:rsid w:val="005C675E"/>
    <w:rsid w:val="005C78E5"/>
    <w:rsid w:val="005C7D0B"/>
    <w:rsid w:val="005C7E83"/>
    <w:rsid w:val="005D0F4C"/>
    <w:rsid w:val="005D5B0F"/>
    <w:rsid w:val="005D6061"/>
    <w:rsid w:val="005E39B5"/>
    <w:rsid w:val="005E47B4"/>
    <w:rsid w:val="005F3081"/>
    <w:rsid w:val="005F3E1F"/>
    <w:rsid w:val="00602FA0"/>
    <w:rsid w:val="00603461"/>
    <w:rsid w:val="00603F27"/>
    <w:rsid w:val="006048F2"/>
    <w:rsid w:val="006050DF"/>
    <w:rsid w:val="0060613B"/>
    <w:rsid w:val="00607C0E"/>
    <w:rsid w:val="006150DF"/>
    <w:rsid w:val="006219E2"/>
    <w:rsid w:val="00622B7E"/>
    <w:rsid w:val="00625884"/>
    <w:rsid w:val="006303DC"/>
    <w:rsid w:val="00632EA5"/>
    <w:rsid w:val="00633335"/>
    <w:rsid w:val="006340AB"/>
    <w:rsid w:val="006353CC"/>
    <w:rsid w:val="006368E5"/>
    <w:rsid w:val="00637272"/>
    <w:rsid w:val="0064669D"/>
    <w:rsid w:val="006475ED"/>
    <w:rsid w:val="00651159"/>
    <w:rsid w:val="0065158F"/>
    <w:rsid w:val="0065246A"/>
    <w:rsid w:val="0065378B"/>
    <w:rsid w:val="0065489D"/>
    <w:rsid w:val="00656C5E"/>
    <w:rsid w:val="00661A75"/>
    <w:rsid w:val="00662DEF"/>
    <w:rsid w:val="006644AD"/>
    <w:rsid w:val="00665741"/>
    <w:rsid w:val="00667564"/>
    <w:rsid w:val="00667D30"/>
    <w:rsid w:val="00672F80"/>
    <w:rsid w:val="0067395C"/>
    <w:rsid w:val="00673A3C"/>
    <w:rsid w:val="00675FA8"/>
    <w:rsid w:val="006760DD"/>
    <w:rsid w:val="0067674E"/>
    <w:rsid w:val="00681195"/>
    <w:rsid w:val="00681532"/>
    <w:rsid w:val="006815F2"/>
    <w:rsid w:val="00681920"/>
    <w:rsid w:val="00682419"/>
    <w:rsid w:val="00685378"/>
    <w:rsid w:val="006865CD"/>
    <w:rsid w:val="00687101"/>
    <w:rsid w:val="00690C85"/>
    <w:rsid w:val="00690E6F"/>
    <w:rsid w:val="006919F2"/>
    <w:rsid w:val="006929DE"/>
    <w:rsid w:val="006949CC"/>
    <w:rsid w:val="00695396"/>
    <w:rsid w:val="0069571D"/>
    <w:rsid w:val="0069655B"/>
    <w:rsid w:val="00696F55"/>
    <w:rsid w:val="00697B10"/>
    <w:rsid w:val="006A0B3F"/>
    <w:rsid w:val="006A4878"/>
    <w:rsid w:val="006A4F5D"/>
    <w:rsid w:val="006A52B2"/>
    <w:rsid w:val="006A5E22"/>
    <w:rsid w:val="006B3891"/>
    <w:rsid w:val="006B5CBB"/>
    <w:rsid w:val="006B7A8C"/>
    <w:rsid w:val="006C0FCD"/>
    <w:rsid w:val="006C180D"/>
    <w:rsid w:val="006C2EFC"/>
    <w:rsid w:val="006C32BF"/>
    <w:rsid w:val="006C3464"/>
    <w:rsid w:val="006C4393"/>
    <w:rsid w:val="006C5A5F"/>
    <w:rsid w:val="006C5D54"/>
    <w:rsid w:val="006C68BB"/>
    <w:rsid w:val="006D091E"/>
    <w:rsid w:val="006D2F54"/>
    <w:rsid w:val="006D4EBA"/>
    <w:rsid w:val="006D5431"/>
    <w:rsid w:val="006D5979"/>
    <w:rsid w:val="006D6677"/>
    <w:rsid w:val="006D7FD6"/>
    <w:rsid w:val="006E020F"/>
    <w:rsid w:val="006E0311"/>
    <w:rsid w:val="006E09AD"/>
    <w:rsid w:val="006E09EF"/>
    <w:rsid w:val="006E1C9A"/>
    <w:rsid w:val="006E1D24"/>
    <w:rsid w:val="006E4D26"/>
    <w:rsid w:val="006E584D"/>
    <w:rsid w:val="006E5BCB"/>
    <w:rsid w:val="006E662B"/>
    <w:rsid w:val="006E765E"/>
    <w:rsid w:val="006F2C5A"/>
    <w:rsid w:val="006F2FFB"/>
    <w:rsid w:val="006F3D78"/>
    <w:rsid w:val="006F5332"/>
    <w:rsid w:val="006F5AA8"/>
    <w:rsid w:val="006F6E9A"/>
    <w:rsid w:val="00700252"/>
    <w:rsid w:val="00700277"/>
    <w:rsid w:val="0070051A"/>
    <w:rsid w:val="00701BCA"/>
    <w:rsid w:val="007020E9"/>
    <w:rsid w:val="00702D85"/>
    <w:rsid w:val="00705CD0"/>
    <w:rsid w:val="00705E46"/>
    <w:rsid w:val="00707907"/>
    <w:rsid w:val="00710AC7"/>
    <w:rsid w:val="00710C0E"/>
    <w:rsid w:val="007131D9"/>
    <w:rsid w:val="00714313"/>
    <w:rsid w:val="00717256"/>
    <w:rsid w:val="007179EC"/>
    <w:rsid w:val="00717E6F"/>
    <w:rsid w:val="0072000E"/>
    <w:rsid w:val="0072034E"/>
    <w:rsid w:val="00721339"/>
    <w:rsid w:val="007216AE"/>
    <w:rsid w:val="00722D51"/>
    <w:rsid w:val="00723C5B"/>
    <w:rsid w:val="0072411B"/>
    <w:rsid w:val="007246FF"/>
    <w:rsid w:val="00726C1C"/>
    <w:rsid w:val="00730D55"/>
    <w:rsid w:val="00732B21"/>
    <w:rsid w:val="00733FA6"/>
    <w:rsid w:val="00734ADD"/>
    <w:rsid w:val="00737FE2"/>
    <w:rsid w:val="0074183B"/>
    <w:rsid w:val="0074183E"/>
    <w:rsid w:val="00743C7A"/>
    <w:rsid w:val="00747F7C"/>
    <w:rsid w:val="0075036B"/>
    <w:rsid w:val="00750D72"/>
    <w:rsid w:val="00751AD0"/>
    <w:rsid w:val="007525B9"/>
    <w:rsid w:val="007541B3"/>
    <w:rsid w:val="00756912"/>
    <w:rsid w:val="007570D7"/>
    <w:rsid w:val="007575D8"/>
    <w:rsid w:val="007615CD"/>
    <w:rsid w:val="00762FF7"/>
    <w:rsid w:val="00764B19"/>
    <w:rsid w:val="00764C27"/>
    <w:rsid w:val="00764FD7"/>
    <w:rsid w:val="00765400"/>
    <w:rsid w:val="007659FE"/>
    <w:rsid w:val="00767485"/>
    <w:rsid w:val="00770664"/>
    <w:rsid w:val="00770748"/>
    <w:rsid w:val="00772110"/>
    <w:rsid w:val="00772553"/>
    <w:rsid w:val="007728DC"/>
    <w:rsid w:val="00774317"/>
    <w:rsid w:val="0077504B"/>
    <w:rsid w:val="00775CDC"/>
    <w:rsid w:val="00780DF8"/>
    <w:rsid w:val="00781E03"/>
    <w:rsid w:val="00782295"/>
    <w:rsid w:val="0078243D"/>
    <w:rsid w:val="00782920"/>
    <w:rsid w:val="00782AB3"/>
    <w:rsid w:val="00784B20"/>
    <w:rsid w:val="00786031"/>
    <w:rsid w:val="007879BE"/>
    <w:rsid w:val="00791094"/>
    <w:rsid w:val="00791ABE"/>
    <w:rsid w:val="00793207"/>
    <w:rsid w:val="007940DD"/>
    <w:rsid w:val="0079427D"/>
    <w:rsid w:val="00794840"/>
    <w:rsid w:val="00794FA4"/>
    <w:rsid w:val="00795217"/>
    <w:rsid w:val="0079579C"/>
    <w:rsid w:val="00797EB9"/>
    <w:rsid w:val="007A2744"/>
    <w:rsid w:val="007A2E1D"/>
    <w:rsid w:val="007A4A33"/>
    <w:rsid w:val="007A5E50"/>
    <w:rsid w:val="007A64E3"/>
    <w:rsid w:val="007B21F5"/>
    <w:rsid w:val="007B34D9"/>
    <w:rsid w:val="007B3874"/>
    <w:rsid w:val="007B474D"/>
    <w:rsid w:val="007B4A42"/>
    <w:rsid w:val="007B5234"/>
    <w:rsid w:val="007B5486"/>
    <w:rsid w:val="007B6869"/>
    <w:rsid w:val="007B6CDA"/>
    <w:rsid w:val="007C1130"/>
    <w:rsid w:val="007C1878"/>
    <w:rsid w:val="007C27C9"/>
    <w:rsid w:val="007C4FE0"/>
    <w:rsid w:val="007C51A1"/>
    <w:rsid w:val="007C65C9"/>
    <w:rsid w:val="007D0BEC"/>
    <w:rsid w:val="007D25C2"/>
    <w:rsid w:val="007D2682"/>
    <w:rsid w:val="007D3F86"/>
    <w:rsid w:val="007D476E"/>
    <w:rsid w:val="007D4CC4"/>
    <w:rsid w:val="007D6722"/>
    <w:rsid w:val="007D6873"/>
    <w:rsid w:val="007D7D03"/>
    <w:rsid w:val="007E13B0"/>
    <w:rsid w:val="007E73D7"/>
    <w:rsid w:val="007F0077"/>
    <w:rsid w:val="007F21C4"/>
    <w:rsid w:val="007F22B5"/>
    <w:rsid w:val="007F6016"/>
    <w:rsid w:val="00800B7A"/>
    <w:rsid w:val="0080616E"/>
    <w:rsid w:val="008064CB"/>
    <w:rsid w:val="00806A5A"/>
    <w:rsid w:val="008111D8"/>
    <w:rsid w:val="008129C4"/>
    <w:rsid w:val="00812BED"/>
    <w:rsid w:val="0081432C"/>
    <w:rsid w:val="00814692"/>
    <w:rsid w:val="008149C9"/>
    <w:rsid w:val="008151DF"/>
    <w:rsid w:val="008153EA"/>
    <w:rsid w:val="00815BF6"/>
    <w:rsid w:val="0081661A"/>
    <w:rsid w:val="00817626"/>
    <w:rsid w:val="00822138"/>
    <w:rsid w:val="00824F71"/>
    <w:rsid w:val="00827563"/>
    <w:rsid w:val="0082756B"/>
    <w:rsid w:val="00830BC6"/>
    <w:rsid w:val="00830D20"/>
    <w:rsid w:val="00831323"/>
    <w:rsid w:val="00833D87"/>
    <w:rsid w:val="00834C3C"/>
    <w:rsid w:val="008356B4"/>
    <w:rsid w:val="00836037"/>
    <w:rsid w:val="0084010A"/>
    <w:rsid w:val="0084101D"/>
    <w:rsid w:val="0084110B"/>
    <w:rsid w:val="00842D0B"/>
    <w:rsid w:val="008448DE"/>
    <w:rsid w:val="00844F25"/>
    <w:rsid w:val="00845F9F"/>
    <w:rsid w:val="0084635A"/>
    <w:rsid w:val="00846996"/>
    <w:rsid w:val="008501AD"/>
    <w:rsid w:val="008511F3"/>
    <w:rsid w:val="008551CD"/>
    <w:rsid w:val="0085733A"/>
    <w:rsid w:val="00857937"/>
    <w:rsid w:val="00860B57"/>
    <w:rsid w:val="00862590"/>
    <w:rsid w:val="00863769"/>
    <w:rsid w:val="0086463E"/>
    <w:rsid w:val="00865325"/>
    <w:rsid w:val="008666B5"/>
    <w:rsid w:val="00866A01"/>
    <w:rsid w:val="00867281"/>
    <w:rsid w:val="008676C0"/>
    <w:rsid w:val="008705AF"/>
    <w:rsid w:val="008719E2"/>
    <w:rsid w:val="008732C3"/>
    <w:rsid w:val="00874D69"/>
    <w:rsid w:val="00875715"/>
    <w:rsid w:val="00875726"/>
    <w:rsid w:val="00875EB8"/>
    <w:rsid w:val="008779E4"/>
    <w:rsid w:val="00882B19"/>
    <w:rsid w:val="00884998"/>
    <w:rsid w:val="0088757F"/>
    <w:rsid w:val="00891D0C"/>
    <w:rsid w:val="0089204E"/>
    <w:rsid w:val="008925A3"/>
    <w:rsid w:val="008926BC"/>
    <w:rsid w:val="00895325"/>
    <w:rsid w:val="00895E7E"/>
    <w:rsid w:val="0089703F"/>
    <w:rsid w:val="00897F71"/>
    <w:rsid w:val="008A0E79"/>
    <w:rsid w:val="008A1F00"/>
    <w:rsid w:val="008A23AD"/>
    <w:rsid w:val="008A26A6"/>
    <w:rsid w:val="008A3264"/>
    <w:rsid w:val="008A43DA"/>
    <w:rsid w:val="008A4964"/>
    <w:rsid w:val="008A4A87"/>
    <w:rsid w:val="008A51F4"/>
    <w:rsid w:val="008A52A7"/>
    <w:rsid w:val="008A56C1"/>
    <w:rsid w:val="008A5A6C"/>
    <w:rsid w:val="008A7634"/>
    <w:rsid w:val="008A7CE9"/>
    <w:rsid w:val="008B046D"/>
    <w:rsid w:val="008B0A19"/>
    <w:rsid w:val="008B0B30"/>
    <w:rsid w:val="008B4975"/>
    <w:rsid w:val="008B67A7"/>
    <w:rsid w:val="008B6B14"/>
    <w:rsid w:val="008B7A9D"/>
    <w:rsid w:val="008B7E15"/>
    <w:rsid w:val="008C2567"/>
    <w:rsid w:val="008C2C2D"/>
    <w:rsid w:val="008C31ED"/>
    <w:rsid w:val="008C348C"/>
    <w:rsid w:val="008C377D"/>
    <w:rsid w:val="008C38A6"/>
    <w:rsid w:val="008C48E9"/>
    <w:rsid w:val="008C4B87"/>
    <w:rsid w:val="008C4F13"/>
    <w:rsid w:val="008C5158"/>
    <w:rsid w:val="008C518E"/>
    <w:rsid w:val="008C6A66"/>
    <w:rsid w:val="008D15AC"/>
    <w:rsid w:val="008D42FD"/>
    <w:rsid w:val="008E0FCB"/>
    <w:rsid w:val="008E1B93"/>
    <w:rsid w:val="008E1F7D"/>
    <w:rsid w:val="008E20E9"/>
    <w:rsid w:val="008E28C0"/>
    <w:rsid w:val="008E2BB4"/>
    <w:rsid w:val="008E7537"/>
    <w:rsid w:val="008F5B0A"/>
    <w:rsid w:val="008F734B"/>
    <w:rsid w:val="008F780D"/>
    <w:rsid w:val="00900EE9"/>
    <w:rsid w:val="00901302"/>
    <w:rsid w:val="00901F67"/>
    <w:rsid w:val="00901FA6"/>
    <w:rsid w:val="009037F3"/>
    <w:rsid w:val="009043DA"/>
    <w:rsid w:val="009046E1"/>
    <w:rsid w:val="00904C7F"/>
    <w:rsid w:val="0090754A"/>
    <w:rsid w:val="009075A7"/>
    <w:rsid w:val="00910537"/>
    <w:rsid w:val="0091059C"/>
    <w:rsid w:val="00910F76"/>
    <w:rsid w:val="00912E79"/>
    <w:rsid w:val="0091510F"/>
    <w:rsid w:val="0091627E"/>
    <w:rsid w:val="0092109F"/>
    <w:rsid w:val="00921E72"/>
    <w:rsid w:val="009246E3"/>
    <w:rsid w:val="00925EF3"/>
    <w:rsid w:val="009279D0"/>
    <w:rsid w:val="00931E9A"/>
    <w:rsid w:val="00931F4E"/>
    <w:rsid w:val="00932BB0"/>
    <w:rsid w:val="00932EBC"/>
    <w:rsid w:val="009342E5"/>
    <w:rsid w:val="009348E6"/>
    <w:rsid w:val="00936902"/>
    <w:rsid w:val="00936BCC"/>
    <w:rsid w:val="00937343"/>
    <w:rsid w:val="0094084C"/>
    <w:rsid w:val="00941892"/>
    <w:rsid w:val="00942784"/>
    <w:rsid w:val="00942DF8"/>
    <w:rsid w:val="00944836"/>
    <w:rsid w:val="0094493A"/>
    <w:rsid w:val="00946848"/>
    <w:rsid w:val="00946C93"/>
    <w:rsid w:val="00946F6E"/>
    <w:rsid w:val="0095018F"/>
    <w:rsid w:val="009517BE"/>
    <w:rsid w:val="00952C3D"/>
    <w:rsid w:val="00953A8D"/>
    <w:rsid w:val="00954E01"/>
    <w:rsid w:val="00955289"/>
    <w:rsid w:val="00955BEE"/>
    <w:rsid w:val="009560DE"/>
    <w:rsid w:val="00957E58"/>
    <w:rsid w:val="009610A7"/>
    <w:rsid w:val="00962ADD"/>
    <w:rsid w:val="0096300F"/>
    <w:rsid w:val="009633FA"/>
    <w:rsid w:val="009673C5"/>
    <w:rsid w:val="00967D9F"/>
    <w:rsid w:val="0097286B"/>
    <w:rsid w:val="0097451E"/>
    <w:rsid w:val="00975F13"/>
    <w:rsid w:val="0098096A"/>
    <w:rsid w:val="00982C20"/>
    <w:rsid w:val="00983D6D"/>
    <w:rsid w:val="009849FE"/>
    <w:rsid w:val="0098503D"/>
    <w:rsid w:val="009852FF"/>
    <w:rsid w:val="0099090A"/>
    <w:rsid w:val="00991C4E"/>
    <w:rsid w:val="00995931"/>
    <w:rsid w:val="00997482"/>
    <w:rsid w:val="009A02D7"/>
    <w:rsid w:val="009A336C"/>
    <w:rsid w:val="009A4603"/>
    <w:rsid w:val="009A46B5"/>
    <w:rsid w:val="009A6283"/>
    <w:rsid w:val="009A6D66"/>
    <w:rsid w:val="009A71E8"/>
    <w:rsid w:val="009A79F1"/>
    <w:rsid w:val="009A7BEA"/>
    <w:rsid w:val="009B0AC2"/>
    <w:rsid w:val="009B1AEA"/>
    <w:rsid w:val="009B20E2"/>
    <w:rsid w:val="009B2DF6"/>
    <w:rsid w:val="009B35DE"/>
    <w:rsid w:val="009B3CB9"/>
    <w:rsid w:val="009B3E28"/>
    <w:rsid w:val="009B4254"/>
    <w:rsid w:val="009B4334"/>
    <w:rsid w:val="009B4F6B"/>
    <w:rsid w:val="009C01AD"/>
    <w:rsid w:val="009C18F0"/>
    <w:rsid w:val="009C1A1A"/>
    <w:rsid w:val="009D0464"/>
    <w:rsid w:val="009D218E"/>
    <w:rsid w:val="009D28CD"/>
    <w:rsid w:val="009D2CFD"/>
    <w:rsid w:val="009D2EFA"/>
    <w:rsid w:val="009D3A7F"/>
    <w:rsid w:val="009D61E8"/>
    <w:rsid w:val="009D6934"/>
    <w:rsid w:val="009E1C5C"/>
    <w:rsid w:val="009E51C8"/>
    <w:rsid w:val="009E51FF"/>
    <w:rsid w:val="009E5B80"/>
    <w:rsid w:val="009F00A4"/>
    <w:rsid w:val="009F04B1"/>
    <w:rsid w:val="009F19A2"/>
    <w:rsid w:val="009F2525"/>
    <w:rsid w:val="009F2FC2"/>
    <w:rsid w:val="009F5B5D"/>
    <w:rsid w:val="009F5E94"/>
    <w:rsid w:val="009F5F78"/>
    <w:rsid w:val="009F633B"/>
    <w:rsid w:val="009F6FC5"/>
    <w:rsid w:val="009F79FA"/>
    <w:rsid w:val="00A01100"/>
    <w:rsid w:val="00A01D87"/>
    <w:rsid w:val="00A02CF1"/>
    <w:rsid w:val="00A0359F"/>
    <w:rsid w:val="00A05479"/>
    <w:rsid w:val="00A0568E"/>
    <w:rsid w:val="00A075F2"/>
    <w:rsid w:val="00A10C1D"/>
    <w:rsid w:val="00A13197"/>
    <w:rsid w:val="00A13B0A"/>
    <w:rsid w:val="00A14245"/>
    <w:rsid w:val="00A154C7"/>
    <w:rsid w:val="00A17FBB"/>
    <w:rsid w:val="00A23B45"/>
    <w:rsid w:val="00A23B6F"/>
    <w:rsid w:val="00A24A4C"/>
    <w:rsid w:val="00A30C56"/>
    <w:rsid w:val="00A33413"/>
    <w:rsid w:val="00A33EFE"/>
    <w:rsid w:val="00A34B6E"/>
    <w:rsid w:val="00A34FE5"/>
    <w:rsid w:val="00A35408"/>
    <w:rsid w:val="00A36520"/>
    <w:rsid w:val="00A36767"/>
    <w:rsid w:val="00A36C4B"/>
    <w:rsid w:val="00A41784"/>
    <w:rsid w:val="00A42748"/>
    <w:rsid w:val="00A440B6"/>
    <w:rsid w:val="00A44395"/>
    <w:rsid w:val="00A4529B"/>
    <w:rsid w:val="00A46101"/>
    <w:rsid w:val="00A4683E"/>
    <w:rsid w:val="00A47262"/>
    <w:rsid w:val="00A47A24"/>
    <w:rsid w:val="00A50067"/>
    <w:rsid w:val="00A501C4"/>
    <w:rsid w:val="00A504C3"/>
    <w:rsid w:val="00A528C6"/>
    <w:rsid w:val="00A531D0"/>
    <w:rsid w:val="00A54D49"/>
    <w:rsid w:val="00A55297"/>
    <w:rsid w:val="00A55AEA"/>
    <w:rsid w:val="00A57324"/>
    <w:rsid w:val="00A60CEB"/>
    <w:rsid w:val="00A60D8F"/>
    <w:rsid w:val="00A618E3"/>
    <w:rsid w:val="00A61D5A"/>
    <w:rsid w:val="00A6377A"/>
    <w:rsid w:val="00A64BDC"/>
    <w:rsid w:val="00A65628"/>
    <w:rsid w:val="00A66B26"/>
    <w:rsid w:val="00A7002E"/>
    <w:rsid w:val="00A714F6"/>
    <w:rsid w:val="00A72329"/>
    <w:rsid w:val="00A738ED"/>
    <w:rsid w:val="00A743C2"/>
    <w:rsid w:val="00A74B3C"/>
    <w:rsid w:val="00A759E5"/>
    <w:rsid w:val="00A76B4D"/>
    <w:rsid w:val="00A82AA8"/>
    <w:rsid w:val="00A83A7B"/>
    <w:rsid w:val="00A858F3"/>
    <w:rsid w:val="00A912BB"/>
    <w:rsid w:val="00A91F3B"/>
    <w:rsid w:val="00A93394"/>
    <w:rsid w:val="00A95C4A"/>
    <w:rsid w:val="00A96EFB"/>
    <w:rsid w:val="00AA018E"/>
    <w:rsid w:val="00AA044B"/>
    <w:rsid w:val="00AA0FB9"/>
    <w:rsid w:val="00AA2F18"/>
    <w:rsid w:val="00AA746A"/>
    <w:rsid w:val="00AA7D82"/>
    <w:rsid w:val="00AA7FDA"/>
    <w:rsid w:val="00AB0293"/>
    <w:rsid w:val="00AB0916"/>
    <w:rsid w:val="00AB356A"/>
    <w:rsid w:val="00AB5925"/>
    <w:rsid w:val="00AB7A31"/>
    <w:rsid w:val="00AB7F29"/>
    <w:rsid w:val="00AC43FC"/>
    <w:rsid w:val="00AC5560"/>
    <w:rsid w:val="00AC55E4"/>
    <w:rsid w:val="00AC6E2B"/>
    <w:rsid w:val="00AC6E47"/>
    <w:rsid w:val="00AC759A"/>
    <w:rsid w:val="00AD1C07"/>
    <w:rsid w:val="00AD36FD"/>
    <w:rsid w:val="00AD750C"/>
    <w:rsid w:val="00AD78D1"/>
    <w:rsid w:val="00AE1CDD"/>
    <w:rsid w:val="00AE22C2"/>
    <w:rsid w:val="00AE3E94"/>
    <w:rsid w:val="00AF163C"/>
    <w:rsid w:val="00AF670B"/>
    <w:rsid w:val="00AF6CF0"/>
    <w:rsid w:val="00AF6EDD"/>
    <w:rsid w:val="00AF7812"/>
    <w:rsid w:val="00AF7A4E"/>
    <w:rsid w:val="00B00D87"/>
    <w:rsid w:val="00B01C56"/>
    <w:rsid w:val="00B02FDA"/>
    <w:rsid w:val="00B0481A"/>
    <w:rsid w:val="00B05A5F"/>
    <w:rsid w:val="00B07852"/>
    <w:rsid w:val="00B10BCB"/>
    <w:rsid w:val="00B11EB4"/>
    <w:rsid w:val="00B141A8"/>
    <w:rsid w:val="00B15336"/>
    <w:rsid w:val="00B20FAF"/>
    <w:rsid w:val="00B22662"/>
    <w:rsid w:val="00B23671"/>
    <w:rsid w:val="00B2599C"/>
    <w:rsid w:val="00B2740A"/>
    <w:rsid w:val="00B31B5D"/>
    <w:rsid w:val="00B31E4D"/>
    <w:rsid w:val="00B32DBE"/>
    <w:rsid w:val="00B330B2"/>
    <w:rsid w:val="00B3337E"/>
    <w:rsid w:val="00B35DFC"/>
    <w:rsid w:val="00B35E23"/>
    <w:rsid w:val="00B41251"/>
    <w:rsid w:val="00B435A6"/>
    <w:rsid w:val="00B44AB7"/>
    <w:rsid w:val="00B44ACD"/>
    <w:rsid w:val="00B4522B"/>
    <w:rsid w:val="00B47F6A"/>
    <w:rsid w:val="00B517DA"/>
    <w:rsid w:val="00B52123"/>
    <w:rsid w:val="00B522A3"/>
    <w:rsid w:val="00B52979"/>
    <w:rsid w:val="00B53FDF"/>
    <w:rsid w:val="00B5415A"/>
    <w:rsid w:val="00B552F9"/>
    <w:rsid w:val="00B56C56"/>
    <w:rsid w:val="00B60646"/>
    <w:rsid w:val="00B60A25"/>
    <w:rsid w:val="00B63D90"/>
    <w:rsid w:val="00B6514F"/>
    <w:rsid w:val="00B65B94"/>
    <w:rsid w:val="00B65BBF"/>
    <w:rsid w:val="00B660F4"/>
    <w:rsid w:val="00B67056"/>
    <w:rsid w:val="00B67547"/>
    <w:rsid w:val="00B71017"/>
    <w:rsid w:val="00B7162B"/>
    <w:rsid w:val="00B71CFB"/>
    <w:rsid w:val="00B72262"/>
    <w:rsid w:val="00B72752"/>
    <w:rsid w:val="00B74082"/>
    <w:rsid w:val="00B75418"/>
    <w:rsid w:val="00B770DC"/>
    <w:rsid w:val="00B83C07"/>
    <w:rsid w:val="00B8449D"/>
    <w:rsid w:val="00B848B1"/>
    <w:rsid w:val="00B84FE9"/>
    <w:rsid w:val="00B84FF7"/>
    <w:rsid w:val="00B9239A"/>
    <w:rsid w:val="00B925C2"/>
    <w:rsid w:val="00B92D5A"/>
    <w:rsid w:val="00B93465"/>
    <w:rsid w:val="00B96596"/>
    <w:rsid w:val="00B9729E"/>
    <w:rsid w:val="00B97AA1"/>
    <w:rsid w:val="00BA1810"/>
    <w:rsid w:val="00BA3C8C"/>
    <w:rsid w:val="00BA4535"/>
    <w:rsid w:val="00BA48AE"/>
    <w:rsid w:val="00BA5387"/>
    <w:rsid w:val="00BA5F4B"/>
    <w:rsid w:val="00BA65B2"/>
    <w:rsid w:val="00BA7D4B"/>
    <w:rsid w:val="00BB10A7"/>
    <w:rsid w:val="00BB1486"/>
    <w:rsid w:val="00BB2854"/>
    <w:rsid w:val="00BB2A92"/>
    <w:rsid w:val="00BB33BA"/>
    <w:rsid w:val="00BC1203"/>
    <w:rsid w:val="00BC187E"/>
    <w:rsid w:val="00BC22D4"/>
    <w:rsid w:val="00BC4D07"/>
    <w:rsid w:val="00BC5D1F"/>
    <w:rsid w:val="00BC625E"/>
    <w:rsid w:val="00BC63AB"/>
    <w:rsid w:val="00BC77B0"/>
    <w:rsid w:val="00BD3C3F"/>
    <w:rsid w:val="00BD3C5D"/>
    <w:rsid w:val="00BD42ED"/>
    <w:rsid w:val="00BD5BE9"/>
    <w:rsid w:val="00BD6819"/>
    <w:rsid w:val="00BD7884"/>
    <w:rsid w:val="00BE03C6"/>
    <w:rsid w:val="00BE04D8"/>
    <w:rsid w:val="00BE1045"/>
    <w:rsid w:val="00BE2914"/>
    <w:rsid w:val="00BE3DDF"/>
    <w:rsid w:val="00BE46A0"/>
    <w:rsid w:val="00BF1886"/>
    <w:rsid w:val="00C01501"/>
    <w:rsid w:val="00C028AA"/>
    <w:rsid w:val="00C0365F"/>
    <w:rsid w:val="00C03D42"/>
    <w:rsid w:val="00C0466B"/>
    <w:rsid w:val="00C056C5"/>
    <w:rsid w:val="00C070A9"/>
    <w:rsid w:val="00C104B4"/>
    <w:rsid w:val="00C116EC"/>
    <w:rsid w:val="00C11EE4"/>
    <w:rsid w:val="00C14DB6"/>
    <w:rsid w:val="00C150A5"/>
    <w:rsid w:val="00C1536C"/>
    <w:rsid w:val="00C159D1"/>
    <w:rsid w:val="00C15AF1"/>
    <w:rsid w:val="00C17EE3"/>
    <w:rsid w:val="00C21F7E"/>
    <w:rsid w:val="00C221A4"/>
    <w:rsid w:val="00C2283C"/>
    <w:rsid w:val="00C22D12"/>
    <w:rsid w:val="00C2328D"/>
    <w:rsid w:val="00C241FD"/>
    <w:rsid w:val="00C2458F"/>
    <w:rsid w:val="00C255BD"/>
    <w:rsid w:val="00C301DB"/>
    <w:rsid w:val="00C32F7E"/>
    <w:rsid w:val="00C344A0"/>
    <w:rsid w:val="00C37D6B"/>
    <w:rsid w:val="00C37E52"/>
    <w:rsid w:val="00C43F2F"/>
    <w:rsid w:val="00C45642"/>
    <w:rsid w:val="00C47CA8"/>
    <w:rsid w:val="00C508B0"/>
    <w:rsid w:val="00C50F5B"/>
    <w:rsid w:val="00C50FD2"/>
    <w:rsid w:val="00C51B16"/>
    <w:rsid w:val="00C54983"/>
    <w:rsid w:val="00C54B68"/>
    <w:rsid w:val="00C55409"/>
    <w:rsid w:val="00C55DB6"/>
    <w:rsid w:val="00C567BF"/>
    <w:rsid w:val="00C56B08"/>
    <w:rsid w:val="00C57E82"/>
    <w:rsid w:val="00C6073A"/>
    <w:rsid w:val="00C6091E"/>
    <w:rsid w:val="00C6105A"/>
    <w:rsid w:val="00C626FA"/>
    <w:rsid w:val="00C64C25"/>
    <w:rsid w:val="00C64FD2"/>
    <w:rsid w:val="00C65E18"/>
    <w:rsid w:val="00C6663E"/>
    <w:rsid w:val="00C673D9"/>
    <w:rsid w:val="00C67B90"/>
    <w:rsid w:val="00C67CC7"/>
    <w:rsid w:val="00C70B74"/>
    <w:rsid w:val="00C734A2"/>
    <w:rsid w:val="00C74A53"/>
    <w:rsid w:val="00C74B64"/>
    <w:rsid w:val="00C75120"/>
    <w:rsid w:val="00C8030B"/>
    <w:rsid w:val="00C80AAE"/>
    <w:rsid w:val="00C85621"/>
    <w:rsid w:val="00C8797F"/>
    <w:rsid w:val="00C9146C"/>
    <w:rsid w:val="00C91657"/>
    <w:rsid w:val="00C934B5"/>
    <w:rsid w:val="00C948AE"/>
    <w:rsid w:val="00C965AC"/>
    <w:rsid w:val="00C972B7"/>
    <w:rsid w:val="00C978F1"/>
    <w:rsid w:val="00CA5700"/>
    <w:rsid w:val="00CA611E"/>
    <w:rsid w:val="00CA6FEA"/>
    <w:rsid w:val="00CA71D6"/>
    <w:rsid w:val="00CB0DDE"/>
    <w:rsid w:val="00CB1C63"/>
    <w:rsid w:val="00CB29A1"/>
    <w:rsid w:val="00CB2F90"/>
    <w:rsid w:val="00CB36C0"/>
    <w:rsid w:val="00CB40D9"/>
    <w:rsid w:val="00CB5D1C"/>
    <w:rsid w:val="00CB72CE"/>
    <w:rsid w:val="00CC0A64"/>
    <w:rsid w:val="00CC40F0"/>
    <w:rsid w:val="00CC68BD"/>
    <w:rsid w:val="00CD0434"/>
    <w:rsid w:val="00CD0454"/>
    <w:rsid w:val="00CD0EC9"/>
    <w:rsid w:val="00CD1140"/>
    <w:rsid w:val="00CD1640"/>
    <w:rsid w:val="00CD2047"/>
    <w:rsid w:val="00CD2444"/>
    <w:rsid w:val="00CD29E6"/>
    <w:rsid w:val="00CD3B1D"/>
    <w:rsid w:val="00CD4557"/>
    <w:rsid w:val="00CD705F"/>
    <w:rsid w:val="00CE0CBB"/>
    <w:rsid w:val="00CE1413"/>
    <w:rsid w:val="00CE20C9"/>
    <w:rsid w:val="00CE259D"/>
    <w:rsid w:val="00CE48EF"/>
    <w:rsid w:val="00CE5020"/>
    <w:rsid w:val="00CE7375"/>
    <w:rsid w:val="00CE7ABB"/>
    <w:rsid w:val="00CE7B6B"/>
    <w:rsid w:val="00CF0E40"/>
    <w:rsid w:val="00CF3D85"/>
    <w:rsid w:val="00CF5546"/>
    <w:rsid w:val="00CF59E8"/>
    <w:rsid w:val="00CF5F38"/>
    <w:rsid w:val="00D00454"/>
    <w:rsid w:val="00D01812"/>
    <w:rsid w:val="00D01B68"/>
    <w:rsid w:val="00D01BCA"/>
    <w:rsid w:val="00D030F3"/>
    <w:rsid w:val="00D03C8D"/>
    <w:rsid w:val="00D04812"/>
    <w:rsid w:val="00D0498B"/>
    <w:rsid w:val="00D04BCB"/>
    <w:rsid w:val="00D05CF8"/>
    <w:rsid w:val="00D05E58"/>
    <w:rsid w:val="00D0681B"/>
    <w:rsid w:val="00D075CE"/>
    <w:rsid w:val="00D10B8F"/>
    <w:rsid w:val="00D11CF3"/>
    <w:rsid w:val="00D12343"/>
    <w:rsid w:val="00D1576B"/>
    <w:rsid w:val="00D164AF"/>
    <w:rsid w:val="00D2125F"/>
    <w:rsid w:val="00D24138"/>
    <w:rsid w:val="00D25017"/>
    <w:rsid w:val="00D25942"/>
    <w:rsid w:val="00D26AE2"/>
    <w:rsid w:val="00D27419"/>
    <w:rsid w:val="00D27CF6"/>
    <w:rsid w:val="00D328ED"/>
    <w:rsid w:val="00D337BC"/>
    <w:rsid w:val="00D3388E"/>
    <w:rsid w:val="00D437B9"/>
    <w:rsid w:val="00D456F7"/>
    <w:rsid w:val="00D46E1C"/>
    <w:rsid w:val="00D476A8"/>
    <w:rsid w:val="00D476E8"/>
    <w:rsid w:val="00D52384"/>
    <w:rsid w:val="00D52E52"/>
    <w:rsid w:val="00D54953"/>
    <w:rsid w:val="00D552E0"/>
    <w:rsid w:val="00D563B7"/>
    <w:rsid w:val="00D57A06"/>
    <w:rsid w:val="00D6080A"/>
    <w:rsid w:val="00D609E1"/>
    <w:rsid w:val="00D60F12"/>
    <w:rsid w:val="00D629D6"/>
    <w:rsid w:val="00D62FDD"/>
    <w:rsid w:val="00D63161"/>
    <w:rsid w:val="00D63C2C"/>
    <w:rsid w:val="00D63DCD"/>
    <w:rsid w:val="00D63DEF"/>
    <w:rsid w:val="00D63F7B"/>
    <w:rsid w:val="00D64811"/>
    <w:rsid w:val="00D65834"/>
    <w:rsid w:val="00D6632C"/>
    <w:rsid w:val="00D6658A"/>
    <w:rsid w:val="00D66770"/>
    <w:rsid w:val="00D67417"/>
    <w:rsid w:val="00D67A4E"/>
    <w:rsid w:val="00D67EF9"/>
    <w:rsid w:val="00D7039C"/>
    <w:rsid w:val="00D71C60"/>
    <w:rsid w:val="00D738E2"/>
    <w:rsid w:val="00D7412F"/>
    <w:rsid w:val="00D7471C"/>
    <w:rsid w:val="00D7569E"/>
    <w:rsid w:val="00D76736"/>
    <w:rsid w:val="00D80602"/>
    <w:rsid w:val="00D810BE"/>
    <w:rsid w:val="00D8142E"/>
    <w:rsid w:val="00D828EE"/>
    <w:rsid w:val="00D82EA9"/>
    <w:rsid w:val="00D83D35"/>
    <w:rsid w:val="00D848F6"/>
    <w:rsid w:val="00D84BE4"/>
    <w:rsid w:val="00D85925"/>
    <w:rsid w:val="00D872F2"/>
    <w:rsid w:val="00D875BE"/>
    <w:rsid w:val="00D879BD"/>
    <w:rsid w:val="00D87E7E"/>
    <w:rsid w:val="00D9066D"/>
    <w:rsid w:val="00D9131A"/>
    <w:rsid w:val="00D91416"/>
    <w:rsid w:val="00D931C2"/>
    <w:rsid w:val="00D93933"/>
    <w:rsid w:val="00D95BBB"/>
    <w:rsid w:val="00D95CC2"/>
    <w:rsid w:val="00D96966"/>
    <w:rsid w:val="00D96E45"/>
    <w:rsid w:val="00DA44D3"/>
    <w:rsid w:val="00DA54FE"/>
    <w:rsid w:val="00DA6A8E"/>
    <w:rsid w:val="00DB2322"/>
    <w:rsid w:val="00DB2E94"/>
    <w:rsid w:val="00DB455F"/>
    <w:rsid w:val="00DB4AAE"/>
    <w:rsid w:val="00DB7154"/>
    <w:rsid w:val="00DB7F0B"/>
    <w:rsid w:val="00DC11D8"/>
    <w:rsid w:val="00DC1B82"/>
    <w:rsid w:val="00DC2D40"/>
    <w:rsid w:val="00DC358E"/>
    <w:rsid w:val="00DC3FC9"/>
    <w:rsid w:val="00DC4D4C"/>
    <w:rsid w:val="00DC65EA"/>
    <w:rsid w:val="00DD03DC"/>
    <w:rsid w:val="00DD20C6"/>
    <w:rsid w:val="00DD59A8"/>
    <w:rsid w:val="00DD5EAA"/>
    <w:rsid w:val="00DD6BA2"/>
    <w:rsid w:val="00DD7FA4"/>
    <w:rsid w:val="00DE0149"/>
    <w:rsid w:val="00DE0716"/>
    <w:rsid w:val="00DE2C82"/>
    <w:rsid w:val="00DE325F"/>
    <w:rsid w:val="00DE3858"/>
    <w:rsid w:val="00DE3A94"/>
    <w:rsid w:val="00DE3AA5"/>
    <w:rsid w:val="00DE4BAF"/>
    <w:rsid w:val="00DE5168"/>
    <w:rsid w:val="00DE5E00"/>
    <w:rsid w:val="00DE5E7F"/>
    <w:rsid w:val="00DE6247"/>
    <w:rsid w:val="00DE6A6C"/>
    <w:rsid w:val="00DF1936"/>
    <w:rsid w:val="00DF203B"/>
    <w:rsid w:val="00DF6501"/>
    <w:rsid w:val="00E028E7"/>
    <w:rsid w:val="00E03774"/>
    <w:rsid w:val="00E04141"/>
    <w:rsid w:val="00E10881"/>
    <w:rsid w:val="00E117C5"/>
    <w:rsid w:val="00E121A3"/>
    <w:rsid w:val="00E135EF"/>
    <w:rsid w:val="00E13D20"/>
    <w:rsid w:val="00E1466C"/>
    <w:rsid w:val="00E14E90"/>
    <w:rsid w:val="00E1515B"/>
    <w:rsid w:val="00E15646"/>
    <w:rsid w:val="00E17C59"/>
    <w:rsid w:val="00E217FF"/>
    <w:rsid w:val="00E23D0C"/>
    <w:rsid w:val="00E23D1C"/>
    <w:rsid w:val="00E24FD2"/>
    <w:rsid w:val="00E25144"/>
    <w:rsid w:val="00E2797F"/>
    <w:rsid w:val="00E3089C"/>
    <w:rsid w:val="00E31129"/>
    <w:rsid w:val="00E31D50"/>
    <w:rsid w:val="00E349B1"/>
    <w:rsid w:val="00E35D43"/>
    <w:rsid w:val="00E362AC"/>
    <w:rsid w:val="00E37236"/>
    <w:rsid w:val="00E377BA"/>
    <w:rsid w:val="00E40E5B"/>
    <w:rsid w:val="00E428A4"/>
    <w:rsid w:val="00E42EBE"/>
    <w:rsid w:val="00E4321A"/>
    <w:rsid w:val="00E436C3"/>
    <w:rsid w:val="00E43DE0"/>
    <w:rsid w:val="00E454FF"/>
    <w:rsid w:val="00E45913"/>
    <w:rsid w:val="00E46D9B"/>
    <w:rsid w:val="00E47B82"/>
    <w:rsid w:val="00E47B8D"/>
    <w:rsid w:val="00E53057"/>
    <w:rsid w:val="00E5336B"/>
    <w:rsid w:val="00E539DB"/>
    <w:rsid w:val="00E53F14"/>
    <w:rsid w:val="00E5454D"/>
    <w:rsid w:val="00E55641"/>
    <w:rsid w:val="00E56C89"/>
    <w:rsid w:val="00E61A54"/>
    <w:rsid w:val="00E626DF"/>
    <w:rsid w:val="00E62D8A"/>
    <w:rsid w:val="00E64CEA"/>
    <w:rsid w:val="00E653F2"/>
    <w:rsid w:val="00E700EA"/>
    <w:rsid w:val="00E73092"/>
    <w:rsid w:val="00E75639"/>
    <w:rsid w:val="00E758BE"/>
    <w:rsid w:val="00E76A22"/>
    <w:rsid w:val="00E76F0D"/>
    <w:rsid w:val="00E81A3B"/>
    <w:rsid w:val="00E840FA"/>
    <w:rsid w:val="00E847E4"/>
    <w:rsid w:val="00E84BD9"/>
    <w:rsid w:val="00E84FC9"/>
    <w:rsid w:val="00E8646A"/>
    <w:rsid w:val="00E931BC"/>
    <w:rsid w:val="00E94065"/>
    <w:rsid w:val="00E96BD1"/>
    <w:rsid w:val="00E97DB2"/>
    <w:rsid w:val="00EA384C"/>
    <w:rsid w:val="00EA5970"/>
    <w:rsid w:val="00EA7F93"/>
    <w:rsid w:val="00EB1465"/>
    <w:rsid w:val="00EB1B3B"/>
    <w:rsid w:val="00EB28E5"/>
    <w:rsid w:val="00EB4C6C"/>
    <w:rsid w:val="00EB64F2"/>
    <w:rsid w:val="00EC05BA"/>
    <w:rsid w:val="00EC1E1C"/>
    <w:rsid w:val="00EC28A3"/>
    <w:rsid w:val="00EC4239"/>
    <w:rsid w:val="00EC5DDC"/>
    <w:rsid w:val="00EC6B2A"/>
    <w:rsid w:val="00ED29A2"/>
    <w:rsid w:val="00ED2D5D"/>
    <w:rsid w:val="00ED4264"/>
    <w:rsid w:val="00ED53EF"/>
    <w:rsid w:val="00ED6443"/>
    <w:rsid w:val="00EE1A79"/>
    <w:rsid w:val="00EE2078"/>
    <w:rsid w:val="00EE35C8"/>
    <w:rsid w:val="00EE3A17"/>
    <w:rsid w:val="00EE3ABC"/>
    <w:rsid w:val="00EE5713"/>
    <w:rsid w:val="00EE5EB7"/>
    <w:rsid w:val="00EF0A6C"/>
    <w:rsid w:val="00EF29DF"/>
    <w:rsid w:val="00EF4BFF"/>
    <w:rsid w:val="00EF6FB6"/>
    <w:rsid w:val="00EF709A"/>
    <w:rsid w:val="00EF7D81"/>
    <w:rsid w:val="00F00206"/>
    <w:rsid w:val="00F01023"/>
    <w:rsid w:val="00F02A0C"/>
    <w:rsid w:val="00F02ECB"/>
    <w:rsid w:val="00F03AD5"/>
    <w:rsid w:val="00F073F7"/>
    <w:rsid w:val="00F103E7"/>
    <w:rsid w:val="00F105E1"/>
    <w:rsid w:val="00F11442"/>
    <w:rsid w:val="00F11AB1"/>
    <w:rsid w:val="00F11CE2"/>
    <w:rsid w:val="00F12300"/>
    <w:rsid w:val="00F12DD9"/>
    <w:rsid w:val="00F13ABD"/>
    <w:rsid w:val="00F13D89"/>
    <w:rsid w:val="00F15593"/>
    <w:rsid w:val="00F20467"/>
    <w:rsid w:val="00F21C33"/>
    <w:rsid w:val="00F22137"/>
    <w:rsid w:val="00F24463"/>
    <w:rsid w:val="00F24549"/>
    <w:rsid w:val="00F252CD"/>
    <w:rsid w:val="00F25F9C"/>
    <w:rsid w:val="00F27515"/>
    <w:rsid w:val="00F30F79"/>
    <w:rsid w:val="00F33937"/>
    <w:rsid w:val="00F353C1"/>
    <w:rsid w:val="00F36181"/>
    <w:rsid w:val="00F418EA"/>
    <w:rsid w:val="00F41A47"/>
    <w:rsid w:val="00F42189"/>
    <w:rsid w:val="00F43E33"/>
    <w:rsid w:val="00F47491"/>
    <w:rsid w:val="00F47C4E"/>
    <w:rsid w:val="00F50953"/>
    <w:rsid w:val="00F50C99"/>
    <w:rsid w:val="00F52091"/>
    <w:rsid w:val="00F53A1D"/>
    <w:rsid w:val="00F62E8A"/>
    <w:rsid w:val="00F64416"/>
    <w:rsid w:val="00F648C1"/>
    <w:rsid w:val="00F64B4C"/>
    <w:rsid w:val="00F65E3A"/>
    <w:rsid w:val="00F66C1E"/>
    <w:rsid w:val="00F6729A"/>
    <w:rsid w:val="00F70B4A"/>
    <w:rsid w:val="00F727BA"/>
    <w:rsid w:val="00F73B7F"/>
    <w:rsid w:val="00F73E32"/>
    <w:rsid w:val="00F754D1"/>
    <w:rsid w:val="00F76530"/>
    <w:rsid w:val="00F76918"/>
    <w:rsid w:val="00F80A74"/>
    <w:rsid w:val="00F830C3"/>
    <w:rsid w:val="00F838D3"/>
    <w:rsid w:val="00F83A9F"/>
    <w:rsid w:val="00F83AEE"/>
    <w:rsid w:val="00F83D57"/>
    <w:rsid w:val="00F84116"/>
    <w:rsid w:val="00F84F31"/>
    <w:rsid w:val="00F853BD"/>
    <w:rsid w:val="00F854A6"/>
    <w:rsid w:val="00F8712D"/>
    <w:rsid w:val="00F90219"/>
    <w:rsid w:val="00F9040D"/>
    <w:rsid w:val="00F91B6A"/>
    <w:rsid w:val="00F92995"/>
    <w:rsid w:val="00F92A24"/>
    <w:rsid w:val="00F92F72"/>
    <w:rsid w:val="00F9308B"/>
    <w:rsid w:val="00F94223"/>
    <w:rsid w:val="00F95F36"/>
    <w:rsid w:val="00F95FB3"/>
    <w:rsid w:val="00F96CCD"/>
    <w:rsid w:val="00FA179B"/>
    <w:rsid w:val="00FA1A67"/>
    <w:rsid w:val="00FA40E6"/>
    <w:rsid w:val="00FA5F4F"/>
    <w:rsid w:val="00FA65D2"/>
    <w:rsid w:val="00FB1F66"/>
    <w:rsid w:val="00FB5379"/>
    <w:rsid w:val="00FC0C53"/>
    <w:rsid w:val="00FC1E15"/>
    <w:rsid w:val="00FC5C32"/>
    <w:rsid w:val="00FC5E16"/>
    <w:rsid w:val="00FC60F3"/>
    <w:rsid w:val="00FC693E"/>
    <w:rsid w:val="00FD18C5"/>
    <w:rsid w:val="00FD3B96"/>
    <w:rsid w:val="00FD5676"/>
    <w:rsid w:val="00FD6CC9"/>
    <w:rsid w:val="00FD79DE"/>
    <w:rsid w:val="00FE0064"/>
    <w:rsid w:val="00FE15CC"/>
    <w:rsid w:val="00FE223A"/>
    <w:rsid w:val="00FE32EA"/>
    <w:rsid w:val="00FE3812"/>
    <w:rsid w:val="00FE5879"/>
    <w:rsid w:val="00FE6358"/>
    <w:rsid w:val="00FE69EB"/>
    <w:rsid w:val="00FE7797"/>
    <w:rsid w:val="00FE796F"/>
    <w:rsid w:val="00FE7CEB"/>
    <w:rsid w:val="00FF17A5"/>
    <w:rsid w:val="00FF2CF7"/>
    <w:rsid w:val="00FF3890"/>
    <w:rsid w:val="00FF3FF0"/>
    <w:rsid w:val="00FF56CD"/>
    <w:rsid w:val="00FF6ED7"/>
    <w:rsid w:val="012AF724"/>
    <w:rsid w:val="021D5F79"/>
    <w:rsid w:val="02E3E4E3"/>
    <w:rsid w:val="030E2B44"/>
    <w:rsid w:val="042CDF1D"/>
    <w:rsid w:val="06F7B01A"/>
    <w:rsid w:val="075E8839"/>
    <w:rsid w:val="0837B658"/>
    <w:rsid w:val="086D4880"/>
    <w:rsid w:val="08CAEC63"/>
    <w:rsid w:val="0A17DC4F"/>
    <w:rsid w:val="0AAE4D89"/>
    <w:rsid w:val="0AE9BD9B"/>
    <w:rsid w:val="0B4F8363"/>
    <w:rsid w:val="0B74BA60"/>
    <w:rsid w:val="0C690B22"/>
    <w:rsid w:val="0CD0B155"/>
    <w:rsid w:val="0D106474"/>
    <w:rsid w:val="0D1A7411"/>
    <w:rsid w:val="0D32976F"/>
    <w:rsid w:val="0D8FB68A"/>
    <w:rsid w:val="0E8224D8"/>
    <w:rsid w:val="0F05991C"/>
    <w:rsid w:val="0F3DB580"/>
    <w:rsid w:val="0FB714B4"/>
    <w:rsid w:val="1033D5AD"/>
    <w:rsid w:val="107132EB"/>
    <w:rsid w:val="11329782"/>
    <w:rsid w:val="119A1D12"/>
    <w:rsid w:val="11AC14C9"/>
    <w:rsid w:val="11D4B01D"/>
    <w:rsid w:val="11E1E4A0"/>
    <w:rsid w:val="120DE474"/>
    <w:rsid w:val="12263407"/>
    <w:rsid w:val="125D3B1D"/>
    <w:rsid w:val="1356DF76"/>
    <w:rsid w:val="137B9236"/>
    <w:rsid w:val="13C9327F"/>
    <w:rsid w:val="14DC4654"/>
    <w:rsid w:val="150FC884"/>
    <w:rsid w:val="152E4BBD"/>
    <w:rsid w:val="1563BF68"/>
    <w:rsid w:val="160095BF"/>
    <w:rsid w:val="16129CDD"/>
    <w:rsid w:val="16827685"/>
    <w:rsid w:val="174EC09E"/>
    <w:rsid w:val="17C29739"/>
    <w:rsid w:val="17F867C3"/>
    <w:rsid w:val="18494A72"/>
    <w:rsid w:val="184FDAA0"/>
    <w:rsid w:val="187E672F"/>
    <w:rsid w:val="1950DC4C"/>
    <w:rsid w:val="19DC9745"/>
    <w:rsid w:val="1A37E1A3"/>
    <w:rsid w:val="1A44C665"/>
    <w:rsid w:val="1A9A4708"/>
    <w:rsid w:val="1B5DB44D"/>
    <w:rsid w:val="1B7C6C9C"/>
    <w:rsid w:val="1B809511"/>
    <w:rsid w:val="1C110416"/>
    <w:rsid w:val="1D825915"/>
    <w:rsid w:val="1DA3F651"/>
    <w:rsid w:val="1E5DD032"/>
    <w:rsid w:val="1E6B391D"/>
    <w:rsid w:val="1EC69534"/>
    <w:rsid w:val="1EE5D412"/>
    <w:rsid w:val="1F7A5BA3"/>
    <w:rsid w:val="1F95D53E"/>
    <w:rsid w:val="1FA482C1"/>
    <w:rsid w:val="2001866E"/>
    <w:rsid w:val="200777B5"/>
    <w:rsid w:val="20079895"/>
    <w:rsid w:val="205D6FD0"/>
    <w:rsid w:val="20D78835"/>
    <w:rsid w:val="2142105A"/>
    <w:rsid w:val="218BB4BF"/>
    <w:rsid w:val="2199B95D"/>
    <w:rsid w:val="21A86588"/>
    <w:rsid w:val="21A9B9C4"/>
    <w:rsid w:val="225C5526"/>
    <w:rsid w:val="228A2BB0"/>
    <w:rsid w:val="2298F4A7"/>
    <w:rsid w:val="22C7169E"/>
    <w:rsid w:val="22CD3708"/>
    <w:rsid w:val="22F06569"/>
    <w:rsid w:val="22F146EB"/>
    <w:rsid w:val="2418EEBC"/>
    <w:rsid w:val="2446195D"/>
    <w:rsid w:val="247DD80F"/>
    <w:rsid w:val="24B647B9"/>
    <w:rsid w:val="250FFB30"/>
    <w:rsid w:val="2537E1BC"/>
    <w:rsid w:val="254F614F"/>
    <w:rsid w:val="25785F78"/>
    <w:rsid w:val="25E961E7"/>
    <w:rsid w:val="26713601"/>
    <w:rsid w:val="27C5A6E3"/>
    <w:rsid w:val="280E5F79"/>
    <w:rsid w:val="28167719"/>
    <w:rsid w:val="282CEAF5"/>
    <w:rsid w:val="28C9A171"/>
    <w:rsid w:val="28EE1EE2"/>
    <w:rsid w:val="294736ED"/>
    <w:rsid w:val="29605308"/>
    <w:rsid w:val="29DE97C3"/>
    <w:rsid w:val="2B072035"/>
    <w:rsid w:val="2BB6676C"/>
    <w:rsid w:val="2BC1BC9B"/>
    <w:rsid w:val="2BF48E22"/>
    <w:rsid w:val="2C0DBC31"/>
    <w:rsid w:val="2C51B9CF"/>
    <w:rsid w:val="2C7D12CC"/>
    <w:rsid w:val="2D1293BF"/>
    <w:rsid w:val="2D6CAAEE"/>
    <w:rsid w:val="2DCC7F5C"/>
    <w:rsid w:val="2E8A1604"/>
    <w:rsid w:val="2EA19D9F"/>
    <w:rsid w:val="2EC88BA0"/>
    <w:rsid w:val="2F02F5F3"/>
    <w:rsid w:val="2F57870E"/>
    <w:rsid w:val="2FDE2C6A"/>
    <w:rsid w:val="2FECB53A"/>
    <w:rsid w:val="303885B3"/>
    <w:rsid w:val="30F9C0F7"/>
    <w:rsid w:val="3126DF64"/>
    <w:rsid w:val="3149C3A5"/>
    <w:rsid w:val="315381AF"/>
    <w:rsid w:val="31775D16"/>
    <w:rsid w:val="31B56B0A"/>
    <w:rsid w:val="32F044FA"/>
    <w:rsid w:val="330E86A4"/>
    <w:rsid w:val="3362DD82"/>
    <w:rsid w:val="33634F7E"/>
    <w:rsid w:val="33895424"/>
    <w:rsid w:val="34CDFE71"/>
    <w:rsid w:val="34D9F5AF"/>
    <w:rsid w:val="35103C97"/>
    <w:rsid w:val="3582D117"/>
    <w:rsid w:val="360F58BB"/>
    <w:rsid w:val="3718F513"/>
    <w:rsid w:val="37397D9F"/>
    <w:rsid w:val="37426085"/>
    <w:rsid w:val="38A11F05"/>
    <w:rsid w:val="38D0402A"/>
    <w:rsid w:val="38F4B9EB"/>
    <w:rsid w:val="3902ACA9"/>
    <w:rsid w:val="3914A931"/>
    <w:rsid w:val="394EB920"/>
    <w:rsid w:val="39632C25"/>
    <w:rsid w:val="39F4B6AC"/>
    <w:rsid w:val="3A060C9A"/>
    <w:rsid w:val="3A3DCCEA"/>
    <w:rsid w:val="3A4BDE22"/>
    <w:rsid w:val="3A78CF43"/>
    <w:rsid w:val="3B85EF08"/>
    <w:rsid w:val="3BB5FD62"/>
    <w:rsid w:val="3CF9AC63"/>
    <w:rsid w:val="3D12143B"/>
    <w:rsid w:val="3D2EFA0E"/>
    <w:rsid w:val="3DC0925F"/>
    <w:rsid w:val="3DFE5C4C"/>
    <w:rsid w:val="3F05B728"/>
    <w:rsid w:val="3F7B52F5"/>
    <w:rsid w:val="3FB3AA46"/>
    <w:rsid w:val="3FC732BD"/>
    <w:rsid w:val="3FDE327D"/>
    <w:rsid w:val="400E1C0F"/>
    <w:rsid w:val="402A4755"/>
    <w:rsid w:val="402B1035"/>
    <w:rsid w:val="418A5C4E"/>
    <w:rsid w:val="41E377A6"/>
    <w:rsid w:val="423E2970"/>
    <w:rsid w:val="4281571A"/>
    <w:rsid w:val="431D569A"/>
    <w:rsid w:val="4358FEA2"/>
    <w:rsid w:val="4398FC61"/>
    <w:rsid w:val="4401DB54"/>
    <w:rsid w:val="4414A3A7"/>
    <w:rsid w:val="44300C1B"/>
    <w:rsid w:val="4493A67D"/>
    <w:rsid w:val="44E173B6"/>
    <w:rsid w:val="4584151B"/>
    <w:rsid w:val="4647CD49"/>
    <w:rsid w:val="46B1AAF6"/>
    <w:rsid w:val="46BEBDB0"/>
    <w:rsid w:val="47212007"/>
    <w:rsid w:val="47819AC4"/>
    <w:rsid w:val="47D4FF36"/>
    <w:rsid w:val="481E7690"/>
    <w:rsid w:val="486CFB7C"/>
    <w:rsid w:val="487B6041"/>
    <w:rsid w:val="4885108C"/>
    <w:rsid w:val="489FE290"/>
    <w:rsid w:val="48E8BF44"/>
    <w:rsid w:val="4964E67A"/>
    <w:rsid w:val="49AB4AEE"/>
    <w:rsid w:val="4A1F7FBF"/>
    <w:rsid w:val="4A30A5E8"/>
    <w:rsid w:val="4AC3B4F2"/>
    <w:rsid w:val="4AD41E96"/>
    <w:rsid w:val="4AD7F642"/>
    <w:rsid w:val="4B372DA2"/>
    <w:rsid w:val="4B7E7ABA"/>
    <w:rsid w:val="4BBB595B"/>
    <w:rsid w:val="4C2E2D1E"/>
    <w:rsid w:val="4CC8A9B8"/>
    <w:rsid w:val="4D37E31F"/>
    <w:rsid w:val="4D42B2B5"/>
    <w:rsid w:val="4D4A53F0"/>
    <w:rsid w:val="4DC49C75"/>
    <w:rsid w:val="4E390871"/>
    <w:rsid w:val="4E93A65E"/>
    <w:rsid w:val="4EBD50A2"/>
    <w:rsid w:val="4EC27466"/>
    <w:rsid w:val="4F23EE3F"/>
    <w:rsid w:val="4FBF3F07"/>
    <w:rsid w:val="4FCD5AC3"/>
    <w:rsid w:val="5044DF5F"/>
    <w:rsid w:val="50BEE3B3"/>
    <w:rsid w:val="50FBC047"/>
    <w:rsid w:val="51AC2452"/>
    <w:rsid w:val="51E14E7A"/>
    <w:rsid w:val="526B4CDD"/>
    <w:rsid w:val="52C2FECE"/>
    <w:rsid w:val="52D6C552"/>
    <w:rsid w:val="53023F6B"/>
    <w:rsid w:val="53B7E72E"/>
    <w:rsid w:val="544002F4"/>
    <w:rsid w:val="54501FD9"/>
    <w:rsid w:val="54F68155"/>
    <w:rsid w:val="5557D085"/>
    <w:rsid w:val="55A6D179"/>
    <w:rsid w:val="55BC885F"/>
    <w:rsid w:val="5658FFA3"/>
    <w:rsid w:val="56A7615C"/>
    <w:rsid w:val="583973DB"/>
    <w:rsid w:val="58843D7E"/>
    <w:rsid w:val="58B36DED"/>
    <w:rsid w:val="5910997D"/>
    <w:rsid w:val="59538AD2"/>
    <w:rsid w:val="59677CD5"/>
    <w:rsid w:val="59AF0448"/>
    <w:rsid w:val="59D4DABB"/>
    <w:rsid w:val="5AA4A9C7"/>
    <w:rsid w:val="5AAEF499"/>
    <w:rsid w:val="5AD8E010"/>
    <w:rsid w:val="5AF27247"/>
    <w:rsid w:val="5B1F6DDA"/>
    <w:rsid w:val="5BB80727"/>
    <w:rsid w:val="5BBD9F62"/>
    <w:rsid w:val="5BDE61AD"/>
    <w:rsid w:val="5CA22184"/>
    <w:rsid w:val="5CA23F84"/>
    <w:rsid w:val="5CA3E275"/>
    <w:rsid w:val="5CC7F29F"/>
    <w:rsid w:val="5CE4E813"/>
    <w:rsid w:val="5E19A01C"/>
    <w:rsid w:val="5E1D2473"/>
    <w:rsid w:val="5E6A7852"/>
    <w:rsid w:val="5E743B72"/>
    <w:rsid w:val="5EBA6CE5"/>
    <w:rsid w:val="5F70310D"/>
    <w:rsid w:val="5FB25C3E"/>
    <w:rsid w:val="602F47FB"/>
    <w:rsid w:val="6032328D"/>
    <w:rsid w:val="60F74BED"/>
    <w:rsid w:val="611B4975"/>
    <w:rsid w:val="61333D04"/>
    <w:rsid w:val="61336723"/>
    <w:rsid w:val="61489E3D"/>
    <w:rsid w:val="616E9572"/>
    <w:rsid w:val="61BF0AEA"/>
    <w:rsid w:val="61D7B37B"/>
    <w:rsid w:val="6258BEEA"/>
    <w:rsid w:val="62A5849E"/>
    <w:rsid w:val="635312DE"/>
    <w:rsid w:val="63A9D87A"/>
    <w:rsid w:val="64B3D121"/>
    <w:rsid w:val="65366BDE"/>
    <w:rsid w:val="65878979"/>
    <w:rsid w:val="662FD2F1"/>
    <w:rsid w:val="6647D711"/>
    <w:rsid w:val="6714AD77"/>
    <w:rsid w:val="67671058"/>
    <w:rsid w:val="67971D9C"/>
    <w:rsid w:val="689335E2"/>
    <w:rsid w:val="68988CDA"/>
    <w:rsid w:val="68BF76C0"/>
    <w:rsid w:val="68D681A6"/>
    <w:rsid w:val="68E93A88"/>
    <w:rsid w:val="69198888"/>
    <w:rsid w:val="69A9C3D0"/>
    <w:rsid w:val="69B2FB49"/>
    <w:rsid w:val="6A3897FE"/>
    <w:rsid w:val="6A64D11E"/>
    <w:rsid w:val="6AEDA7C6"/>
    <w:rsid w:val="6B34E541"/>
    <w:rsid w:val="6BC7B580"/>
    <w:rsid w:val="6BCDC8B7"/>
    <w:rsid w:val="6C4FDED0"/>
    <w:rsid w:val="6C5C1759"/>
    <w:rsid w:val="6CB18117"/>
    <w:rsid w:val="6CDB4916"/>
    <w:rsid w:val="6D9F3077"/>
    <w:rsid w:val="6E5C04CC"/>
    <w:rsid w:val="6E63C0BA"/>
    <w:rsid w:val="6E8058A8"/>
    <w:rsid w:val="6F8C60FE"/>
    <w:rsid w:val="70091CA3"/>
    <w:rsid w:val="702D1D97"/>
    <w:rsid w:val="70A03ACC"/>
    <w:rsid w:val="70E3276A"/>
    <w:rsid w:val="71A28276"/>
    <w:rsid w:val="71EE2F3F"/>
    <w:rsid w:val="71EE5D48"/>
    <w:rsid w:val="722ADDD1"/>
    <w:rsid w:val="7233B73C"/>
    <w:rsid w:val="72682D90"/>
    <w:rsid w:val="72B57963"/>
    <w:rsid w:val="74283D49"/>
    <w:rsid w:val="74EE6FC6"/>
    <w:rsid w:val="752AD47E"/>
    <w:rsid w:val="7547961B"/>
    <w:rsid w:val="75D5D5D8"/>
    <w:rsid w:val="75D653DE"/>
    <w:rsid w:val="77199585"/>
    <w:rsid w:val="7723B35A"/>
    <w:rsid w:val="7827CBAE"/>
    <w:rsid w:val="783631B9"/>
    <w:rsid w:val="78947F58"/>
    <w:rsid w:val="78D1A389"/>
    <w:rsid w:val="78E90DF3"/>
    <w:rsid w:val="7ACCE833"/>
    <w:rsid w:val="7AE30341"/>
    <w:rsid w:val="7BFB69A1"/>
    <w:rsid w:val="7CCEF996"/>
    <w:rsid w:val="7CF116B8"/>
    <w:rsid w:val="7D00FBCD"/>
    <w:rsid w:val="7D147ADF"/>
    <w:rsid w:val="7D2048F2"/>
    <w:rsid w:val="7D5CEA4F"/>
    <w:rsid w:val="7D640D51"/>
    <w:rsid w:val="7E2F4D34"/>
    <w:rsid w:val="7E7B569E"/>
    <w:rsid w:val="7E8DEE29"/>
    <w:rsid w:val="7EB66F32"/>
    <w:rsid w:val="7F05B873"/>
    <w:rsid w:val="7F0AE8C5"/>
    <w:rsid w:val="7F5A6E74"/>
    <w:rsid w:val="7F9F1A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A1FA7"/>
  <w15:chartTrackingRefBased/>
  <w15:docId w15:val="{D66B2682-5E90-4719-B97F-BF6922AAF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77C3"/>
    <w:pPr>
      <w:tabs>
        <w:tab w:val="center" w:pos="4819"/>
        <w:tab w:val="right" w:pos="9638"/>
      </w:tabs>
      <w:spacing w:after="0" w:line="240" w:lineRule="auto"/>
    </w:pPr>
  </w:style>
  <w:style w:type="character" w:customStyle="1" w:styleId="HeaderChar">
    <w:name w:val="Header Char"/>
    <w:basedOn w:val="DefaultParagraphFont"/>
    <w:link w:val="Header"/>
    <w:uiPriority w:val="99"/>
    <w:rsid w:val="004577C3"/>
  </w:style>
  <w:style w:type="paragraph" w:styleId="Footer">
    <w:name w:val="footer"/>
    <w:basedOn w:val="Normal"/>
    <w:link w:val="FooterChar"/>
    <w:uiPriority w:val="99"/>
    <w:unhideWhenUsed/>
    <w:rsid w:val="004577C3"/>
    <w:pPr>
      <w:tabs>
        <w:tab w:val="center" w:pos="4819"/>
        <w:tab w:val="right" w:pos="9638"/>
      </w:tabs>
      <w:spacing w:after="0" w:line="240" w:lineRule="auto"/>
    </w:pPr>
  </w:style>
  <w:style w:type="character" w:customStyle="1" w:styleId="FooterChar">
    <w:name w:val="Footer Char"/>
    <w:basedOn w:val="DefaultParagraphFont"/>
    <w:link w:val="Footer"/>
    <w:uiPriority w:val="99"/>
    <w:rsid w:val="004577C3"/>
  </w:style>
  <w:style w:type="paragraph" w:styleId="ListParagraph">
    <w:name w:val="List Paragraph"/>
    <w:aliases w:val="Styl 1,Nagłowek 3,lp1,Preambuła,Key,EST_akapit z listą,Obiekt,List Paragraph1,maz_wyliczenie,opis dzialania,K-P_odwolanie,A_wyliczenie,Akapit z listą5,Liste à puces retrait droite,Wyliczanie,Numerowanie,Akapit z listą31,Bullet list"/>
    <w:basedOn w:val="Normal"/>
    <w:link w:val="ListParagraphChar"/>
    <w:uiPriority w:val="34"/>
    <w:qFormat/>
    <w:rsid w:val="001F09EA"/>
    <w:pPr>
      <w:ind w:left="720"/>
      <w:contextualSpacing/>
    </w:pPr>
  </w:style>
  <w:style w:type="paragraph" w:styleId="Caption">
    <w:name w:val="caption"/>
    <w:basedOn w:val="Normal"/>
    <w:next w:val="Normal"/>
    <w:uiPriority w:val="35"/>
    <w:unhideWhenUsed/>
    <w:qFormat/>
    <w:rsid w:val="00DA44D3"/>
    <w:pPr>
      <w:spacing w:after="200" w:line="240" w:lineRule="auto"/>
    </w:pPr>
    <w:rPr>
      <w:i/>
      <w:iCs/>
      <w:color w:val="44546A" w:themeColor="text2"/>
      <w:sz w:val="18"/>
      <w:szCs w:val="18"/>
    </w:rPr>
  </w:style>
  <w:style w:type="table" w:styleId="TableGrid">
    <w:name w:val="Table Grid"/>
    <w:basedOn w:val="TableNormal"/>
    <w:uiPriority w:val="39"/>
    <w:rsid w:val="007131D9"/>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D4E36"/>
    <w:pPr>
      <w:spacing w:after="0" w:line="240" w:lineRule="auto"/>
    </w:pPr>
  </w:style>
  <w:style w:type="character" w:styleId="CommentReference">
    <w:name w:val="annotation reference"/>
    <w:basedOn w:val="DefaultParagraphFont"/>
    <w:uiPriority w:val="99"/>
    <w:semiHidden/>
    <w:unhideWhenUsed/>
    <w:rsid w:val="00353813"/>
    <w:rPr>
      <w:sz w:val="16"/>
      <w:szCs w:val="16"/>
    </w:rPr>
  </w:style>
  <w:style w:type="paragraph" w:styleId="CommentText">
    <w:name w:val="annotation text"/>
    <w:basedOn w:val="Normal"/>
    <w:link w:val="CommentTextChar"/>
    <w:uiPriority w:val="99"/>
    <w:unhideWhenUsed/>
    <w:rsid w:val="00353813"/>
    <w:pPr>
      <w:spacing w:line="240" w:lineRule="auto"/>
    </w:pPr>
    <w:rPr>
      <w:sz w:val="20"/>
      <w:szCs w:val="20"/>
    </w:rPr>
  </w:style>
  <w:style w:type="character" w:customStyle="1" w:styleId="CommentTextChar">
    <w:name w:val="Comment Text Char"/>
    <w:basedOn w:val="DefaultParagraphFont"/>
    <w:link w:val="CommentText"/>
    <w:uiPriority w:val="99"/>
    <w:rsid w:val="00353813"/>
    <w:rPr>
      <w:sz w:val="20"/>
      <w:szCs w:val="20"/>
    </w:rPr>
  </w:style>
  <w:style w:type="paragraph" w:styleId="CommentSubject">
    <w:name w:val="annotation subject"/>
    <w:basedOn w:val="CommentText"/>
    <w:next w:val="CommentText"/>
    <w:link w:val="CommentSubjectChar"/>
    <w:uiPriority w:val="99"/>
    <w:semiHidden/>
    <w:unhideWhenUsed/>
    <w:rsid w:val="00353813"/>
    <w:rPr>
      <w:b/>
      <w:bCs/>
    </w:rPr>
  </w:style>
  <w:style w:type="character" w:customStyle="1" w:styleId="CommentSubjectChar">
    <w:name w:val="Comment Subject Char"/>
    <w:basedOn w:val="CommentTextChar"/>
    <w:link w:val="CommentSubject"/>
    <w:uiPriority w:val="99"/>
    <w:semiHidden/>
    <w:rsid w:val="00353813"/>
    <w:rPr>
      <w:b/>
      <w:bCs/>
      <w:sz w:val="20"/>
      <w:szCs w:val="20"/>
    </w:rPr>
  </w:style>
  <w:style w:type="character" w:customStyle="1" w:styleId="normaltextrun">
    <w:name w:val="normaltextrun"/>
    <w:basedOn w:val="DefaultParagraphFont"/>
    <w:rsid w:val="006E020F"/>
  </w:style>
  <w:style w:type="character" w:customStyle="1" w:styleId="eop">
    <w:name w:val="eop"/>
    <w:basedOn w:val="DefaultParagraphFont"/>
    <w:rsid w:val="006E020F"/>
  </w:style>
  <w:style w:type="paragraph" w:customStyle="1" w:styleId="paragraph">
    <w:name w:val="paragraph"/>
    <w:basedOn w:val="Normal"/>
    <w:rsid w:val="008356B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Hyperlink">
    <w:name w:val="Hyperlink"/>
    <w:basedOn w:val="DefaultParagraphFont"/>
    <w:uiPriority w:val="99"/>
    <w:unhideWhenUsed/>
    <w:rsid w:val="00AB7F29"/>
    <w:rPr>
      <w:color w:val="0563C1" w:themeColor="hyperlink"/>
      <w:u w:val="single"/>
    </w:rPr>
  </w:style>
  <w:style w:type="character" w:styleId="FollowedHyperlink">
    <w:name w:val="FollowedHyperlink"/>
    <w:basedOn w:val="DefaultParagraphFont"/>
    <w:uiPriority w:val="99"/>
    <w:semiHidden/>
    <w:unhideWhenUsed/>
    <w:rsid w:val="00AB7F29"/>
    <w:rPr>
      <w:color w:val="954F72" w:themeColor="followedHyperlink"/>
      <w:u w:val="single"/>
    </w:rPr>
  </w:style>
  <w:style w:type="character" w:styleId="UnresolvedMention">
    <w:name w:val="Unresolved Mention"/>
    <w:basedOn w:val="DefaultParagraphFont"/>
    <w:uiPriority w:val="99"/>
    <w:semiHidden/>
    <w:unhideWhenUsed/>
    <w:rsid w:val="00A42748"/>
    <w:rPr>
      <w:color w:val="605E5C"/>
      <w:shd w:val="clear" w:color="auto" w:fill="E1DFDD"/>
    </w:rPr>
  </w:style>
  <w:style w:type="character" w:customStyle="1" w:styleId="ListParagraphChar">
    <w:name w:val="List Paragraph Char"/>
    <w:aliases w:val="Styl 1 Char,Nagłowek 3 Char,lp1 Char,Preambuła Char,Key Char,EST_akapit z listą Char,Obiekt Char,List Paragraph1 Char,maz_wyliczenie Char,opis dzialania Char,K-P_odwolanie Char,A_wyliczenie Char,Akapit z listą5 Char,Wyliczanie Char"/>
    <w:link w:val="ListParagraph"/>
    <w:uiPriority w:val="34"/>
    <w:qFormat/>
    <w:locked/>
    <w:rsid w:val="00A82AA8"/>
  </w:style>
  <w:style w:type="paragraph" w:styleId="FootnoteText">
    <w:name w:val="footnote text"/>
    <w:basedOn w:val="Normal"/>
    <w:link w:val="FootnoteTextChar"/>
    <w:uiPriority w:val="99"/>
    <w:semiHidden/>
    <w:unhideWhenUsed/>
    <w:rsid w:val="00BC63AB"/>
    <w:pPr>
      <w:spacing w:after="0" w:line="240" w:lineRule="auto"/>
    </w:pPr>
    <w:rPr>
      <w:rFonts w:ascii="Century Gothic" w:eastAsia="Times New Roman" w:hAnsi="Century Gothic" w:cs="Times New Roman"/>
      <w:kern w:val="0"/>
      <w:sz w:val="20"/>
      <w:szCs w:val="20"/>
      <w:lang w:val="en-GB" w:eastAsia="pl-PL"/>
      <w14:ligatures w14:val="none"/>
    </w:rPr>
  </w:style>
  <w:style w:type="character" w:customStyle="1" w:styleId="FootnoteTextChar">
    <w:name w:val="Footnote Text Char"/>
    <w:basedOn w:val="DefaultParagraphFont"/>
    <w:link w:val="FootnoteText"/>
    <w:uiPriority w:val="99"/>
    <w:semiHidden/>
    <w:rsid w:val="00BC63AB"/>
    <w:rPr>
      <w:rFonts w:ascii="Century Gothic" w:eastAsia="Times New Roman" w:hAnsi="Century Gothic" w:cs="Times New Roman"/>
      <w:kern w:val="0"/>
      <w:sz w:val="20"/>
      <w:szCs w:val="20"/>
      <w:lang w:val="en-GB" w:eastAsia="pl-PL"/>
      <w14:ligatures w14:val="none"/>
    </w:rPr>
  </w:style>
  <w:style w:type="character" w:styleId="FootnoteReference">
    <w:name w:val="footnote reference"/>
    <w:basedOn w:val="DefaultParagraphFont"/>
    <w:uiPriority w:val="99"/>
    <w:semiHidden/>
    <w:unhideWhenUsed/>
    <w:rsid w:val="00BC63AB"/>
    <w:rPr>
      <w:vertAlign w:val="superscript"/>
    </w:rPr>
  </w:style>
  <w:style w:type="character" w:styleId="Mention">
    <w:name w:val="Mention"/>
    <w:basedOn w:val="DefaultParagraphFont"/>
    <w:uiPriority w:val="99"/>
    <w:unhideWhenUsed/>
    <w:rsid w:val="00CE50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0199">
      <w:bodyDiv w:val="1"/>
      <w:marLeft w:val="0"/>
      <w:marRight w:val="0"/>
      <w:marTop w:val="0"/>
      <w:marBottom w:val="0"/>
      <w:divBdr>
        <w:top w:val="none" w:sz="0" w:space="0" w:color="auto"/>
        <w:left w:val="none" w:sz="0" w:space="0" w:color="auto"/>
        <w:bottom w:val="none" w:sz="0" w:space="0" w:color="auto"/>
        <w:right w:val="none" w:sz="0" w:space="0" w:color="auto"/>
      </w:divBdr>
      <w:divsChild>
        <w:div w:id="1980106957">
          <w:marLeft w:val="0"/>
          <w:marRight w:val="0"/>
          <w:marTop w:val="0"/>
          <w:marBottom w:val="0"/>
          <w:divBdr>
            <w:top w:val="none" w:sz="0" w:space="0" w:color="auto"/>
            <w:left w:val="none" w:sz="0" w:space="0" w:color="auto"/>
            <w:bottom w:val="none" w:sz="0" w:space="0" w:color="auto"/>
            <w:right w:val="none" w:sz="0" w:space="0" w:color="auto"/>
          </w:divBdr>
        </w:div>
        <w:div w:id="617875074">
          <w:marLeft w:val="240"/>
          <w:marRight w:val="0"/>
          <w:marTop w:val="0"/>
          <w:marBottom w:val="0"/>
          <w:divBdr>
            <w:top w:val="none" w:sz="0" w:space="0" w:color="auto"/>
            <w:left w:val="none" w:sz="0" w:space="0" w:color="auto"/>
            <w:bottom w:val="none" w:sz="0" w:space="0" w:color="auto"/>
            <w:right w:val="none" w:sz="0" w:space="0" w:color="auto"/>
          </w:divBdr>
          <w:divsChild>
            <w:div w:id="604654480">
              <w:marLeft w:val="0"/>
              <w:marRight w:val="0"/>
              <w:marTop w:val="0"/>
              <w:marBottom w:val="0"/>
              <w:divBdr>
                <w:top w:val="none" w:sz="0" w:space="0" w:color="auto"/>
                <w:left w:val="none" w:sz="0" w:space="0" w:color="auto"/>
                <w:bottom w:val="none" w:sz="0" w:space="0" w:color="auto"/>
                <w:right w:val="none" w:sz="0" w:space="0" w:color="auto"/>
              </w:divBdr>
            </w:div>
            <w:div w:id="1849901102">
              <w:marLeft w:val="0"/>
              <w:marRight w:val="0"/>
              <w:marTop w:val="0"/>
              <w:marBottom w:val="0"/>
              <w:divBdr>
                <w:top w:val="none" w:sz="0" w:space="0" w:color="auto"/>
                <w:left w:val="none" w:sz="0" w:space="0" w:color="auto"/>
                <w:bottom w:val="none" w:sz="0" w:space="0" w:color="auto"/>
                <w:right w:val="none" w:sz="0" w:space="0" w:color="auto"/>
              </w:divBdr>
            </w:div>
            <w:div w:id="801734214">
              <w:marLeft w:val="0"/>
              <w:marRight w:val="0"/>
              <w:marTop w:val="0"/>
              <w:marBottom w:val="0"/>
              <w:divBdr>
                <w:top w:val="none" w:sz="0" w:space="0" w:color="auto"/>
                <w:left w:val="none" w:sz="0" w:space="0" w:color="auto"/>
                <w:bottom w:val="none" w:sz="0" w:space="0" w:color="auto"/>
                <w:right w:val="none" w:sz="0" w:space="0" w:color="auto"/>
              </w:divBdr>
            </w:div>
            <w:div w:id="7417362">
              <w:marLeft w:val="0"/>
              <w:marRight w:val="0"/>
              <w:marTop w:val="0"/>
              <w:marBottom w:val="0"/>
              <w:divBdr>
                <w:top w:val="none" w:sz="0" w:space="0" w:color="auto"/>
                <w:left w:val="none" w:sz="0" w:space="0" w:color="auto"/>
                <w:bottom w:val="none" w:sz="0" w:space="0" w:color="auto"/>
                <w:right w:val="none" w:sz="0" w:space="0" w:color="auto"/>
              </w:divBdr>
              <w:divsChild>
                <w:div w:id="1726643222">
                  <w:marLeft w:val="0"/>
                  <w:marRight w:val="0"/>
                  <w:marTop w:val="0"/>
                  <w:marBottom w:val="0"/>
                  <w:divBdr>
                    <w:top w:val="none" w:sz="0" w:space="0" w:color="auto"/>
                    <w:left w:val="none" w:sz="0" w:space="0" w:color="auto"/>
                    <w:bottom w:val="none" w:sz="0" w:space="0" w:color="auto"/>
                    <w:right w:val="none" w:sz="0" w:space="0" w:color="auto"/>
                  </w:divBdr>
                </w:div>
                <w:div w:id="585067722">
                  <w:marLeft w:val="240"/>
                  <w:marRight w:val="0"/>
                  <w:marTop w:val="0"/>
                  <w:marBottom w:val="0"/>
                  <w:divBdr>
                    <w:top w:val="none" w:sz="0" w:space="0" w:color="auto"/>
                    <w:left w:val="none" w:sz="0" w:space="0" w:color="auto"/>
                    <w:bottom w:val="none" w:sz="0" w:space="0" w:color="auto"/>
                    <w:right w:val="none" w:sz="0" w:space="0" w:color="auto"/>
                  </w:divBdr>
                  <w:divsChild>
                    <w:div w:id="84225533">
                      <w:marLeft w:val="0"/>
                      <w:marRight w:val="0"/>
                      <w:marTop w:val="0"/>
                      <w:marBottom w:val="0"/>
                      <w:divBdr>
                        <w:top w:val="none" w:sz="0" w:space="0" w:color="auto"/>
                        <w:left w:val="none" w:sz="0" w:space="0" w:color="auto"/>
                        <w:bottom w:val="none" w:sz="0" w:space="0" w:color="auto"/>
                        <w:right w:val="none" w:sz="0" w:space="0" w:color="auto"/>
                      </w:divBdr>
                    </w:div>
                    <w:div w:id="1487550559">
                      <w:marLeft w:val="0"/>
                      <w:marRight w:val="0"/>
                      <w:marTop w:val="0"/>
                      <w:marBottom w:val="0"/>
                      <w:divBdr>
                        <w:top w:val="none" w:sz="0" w:space="0" w:color="auto"/>
                        <w:left w:val="none" w:sz="0" w:space="0" w:color="auto"/>
                        <w:bottom w:val="none" w:sz="0" w:space="0" w:color="auto"/>
                        <w:right w:val="none" w:sz="0" w:space="0" w:color="auto"/>
                      </w:divBdr>
                    </w:div>
                    <w:div w:id="1116414422">
                      <w:marLeft w:val="0"/>
                      <w:marRight w:val="0"/>
                      <w:marTop w:val="0"/>
                      <w:marBottom w:val="0"/>
                      <w:divBdr>
                        <w:top w:val="none" w:sz="0" w:space="0" w:color="auto"/>
                        <w:left w:val="none" w:sz="0" w:space="0" w:color="auto"/>
                        <w:bottom w:val="none" w:sz="0" w:space="0" w:color="auto"/>
                        <w:right w:val="none" w:sz="0" w:space="0" w:color="auto"/>
                      </w:divBdr>
                      <w:divsChild>
                        <w:div w:id="944387797">
                          <w:marLeft w:val="0"/>
                          <w:marRight w:val="0"/>
                          <w:marTop w:val="0"/>
                          <w:marBottom w:val="0"/>
                          <w:divBdr>
                            <w:top w:val="none" w:sz="0" w:space="0" w:color="auto"/>
                            <w:left w:val="none" w:sz="0" w:space="0" w:color="auto"/>
                            <w:bottom w:val="none" w:sz="0" w:space="0" w:color="auto"/>
                            <w:right w:val="none" w:sz="0" w:space="0" w:color="auto"/>
                          </w:divBdr>
                        </w:div>
                        <w:div w:id="1151871893">
                          <w:marLeft w:val="240"/>
                          <w:marRight w:val="0"/>
                          <w:marTop w:val="0"/>
                          <w:marBottom w:val="0"/>
                          <w:divBdr>
                            <w:top w:val="none" w:sz="0" w:space="0" w:color="auto"/>
                            <w:left w:val="none" w:sz="0" w:space="0" w:color="auto"/>
                            <w:bottom w:val="none" w:sz="0" w:space="0" w:color="auto"/>
                            <w:right w:val="none" w:sz="0" w:space="0" w:color="auto"/>
                          </w:divBdr>
                          <w:divsChild>
                            <w:div w:id="350109549">
                              <w:marLeft w:val="0"/>
                              <w:marRight w:val="0"/>
                              <w:marTop w:val="0"/>
                              <w:marBottom w:val="0"/>
                              <w:divBdr>
                                <w:top w:val="none" w:sz="0" w:space="0" w:color="auto"/>
                                <w:left w:val="none" w:sz="0" w:space="0" w:color="auto"/>
                                <w:bottom w:val="none" w:sz="0" w:space="0" w:color="auto"/>
                                <w:right w:val="none" w:sz="0" w:space="0" w:color="auto"/>
                              </w:divBdr>
                            </w:div>
                            <w:div w:id="1632251296">
                              <w:marLeft w:val="0"/>
                              <w:marRight w:val="0"/>
                              <w:marTop w:val="0"/>
                              <w:marBottom w:val="0"/>
                              <w:divBdr>
                                <w:top w:val="none" w:sz="0" w:space="0" w:color="auto"/>
                                <w:left w:val="none" w:sz="0" w:space="0" w:color="auto"/>
                                <w:bottom w:val="none" w:sz="0" w:space="0" w:color="auto"/>
                                <w:right w:val="none" w:sz="0" w:space="0" w:color="auto"/>
                              </w:divBdr>
                            </w:div>
                            <w:div w:id="1843010999">
                              <w:marLeft w:val="0"/>
                              <w:marRight w:val="0"/>
                              <w:marTop w:val="0"/>
                              <w:marBottom w:val="0"/>
                              <w:divBdr>
                                <w:top w:val="none" w:sz="0" w:space="0" w:color="auto"/>
                                <w:left w:val="none" w:sz="0" w:space="0" w:color="auto"/>
                                <w:bottom w:val="none" w:sz="0" w:space="0" w:color="auto"/>
                                <w:right w:val="none" w:sz="0" w:space="0" w:color="auto"/>
                              </w:divBdr>
                            </w:div>
                            <w:div w:id="396361870">
                              <w:marLeft w:val="0"/>
                              <w:marRight w:val="0"/>
                              <w:marTop w:val="0"/>
                              <w:marBottom w:val="0"/>
                              <w:divBdr>
                                <w:top w:val="none" w:sz="0" w:space="0" w:color="auto"/>
                                <w:left w:val="none" w:sz="0" w:space="0" w:color="auto"/>
                                <w:bottom w:val="none" w:sz="0" w:space="0" w:color="auto"/>
                                <w:right w:val="none" w:sz="0" w:space="0" w:color="auto"/>
                              </w:divBdr>
                            </w:div>
                          </w:divsChild>
                        </w:div>
                        <w:div w:id="23135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021965">
                  <w:marLeft w:val="0"/>
                  <w:marRight w:val="0"/>
                  <w:marTop w:val="0"/>
                  <w:marBottom w:val="0"/>
                  <w:divBdr>
                    <w:top w:val="none" w:sz="0" w:space="0" w:color="auto"/>
                    <w:left w:val="none" w:sz="0" w:space="0" w:color="auto"/>
                    <w:bottom w:val="none" w:sz="0" w:space="0" w:color="auto"/>
                    <w:right w:val="none" w:sz="0" w:space="0" w:color="auto"/>
                  </w:divBdr>
                </w:div>
              </w:divsChild>
            </w:div>
            <w:div w:id="2007320333">
              <w:marLeft w:val="0"/>
              <w:marRight w:val="0"/>
              <w:marTop w:val="0"/>
              <w:marBottom w:val="0"/>
              <w:divBdr>
                <w:top w:val="none" w:sz="0" w:space="0" w:color="auto"/>
                <w:left w:val="none" w:sz="0" w:space="0" w:color="auto"/>
                <w:bottom w:val="none" w:sz="0" w:space="0" w:color="auto"/>
                <w:right w:val="none" w:sz="0" w:space="0" w:color="auto"/>
              </w:divBdr>
            </w:div>
            <w:div w:id="1101297774">
              <w:marLeft w:val="0"/>
              <w:marRight w:val="0"/>
              <w:marTop w:val="0"/>
              <w:marBottom w:val="0"/>
              <w:divBdr>
                <w:top w:val="none" w:sz="0" w:space="0" w:color="auto"/>
                <w:left w:val="none" w:sz="0" w:space="0" w:color="auto"/>
                <w:bottom w:val="none" w:sz="0" w:space="0" w:color="auto"/>
                <w:right w:val="none" w:sz="0" w:space="0" w:color="auto"/>
              </w:divBdr>
              <w:divsChild>
                <w:div w:id="1585450205">
                  <w:marLeft w:val="0"/>
                  <w:marRight w:val="0"/>
                  <w:marTop w:val="0"/>
                  <w:marBottom w:val="0"/>
                  <w:divBdr>
                    <w:top w:val="none" w:sz="0" w:space="0" w:color="auto"/>
                    <w:left w:val="none" w:sz="0" w:space="0" w:color="auto"/>
                    <w:bottom w:val="none" w:sz="0" w:space="0" w:color="auto"/>
                    <w:right w:val="none" w:sz="0" w:space="0" w:color="auto"/>
                  </w:divBdr>
                </w:div>
                <w:div w:id="455366800">
                  <w:marLeft w:val="240"/>
                  <w:marRight w:val="0"/>
                  <w:marTop w:val="0"/>
                  <w:marBottom w:val="0"/>
                  <w:divBdr>
                    <w:top w:val="none" w:sz="0" w:space="0" w:color="auto"/>
                    <w:left w:val="none" w:sz="0" w:space="0" w:color="auto"/>
                    <w:bottom w:val="none" w:sz="0" w:space="0" w:color="auto"/>
                    <w:right w:val="none" w:sz="0" w:space="0" w:color="auto"/>
                  </w:divBdr>
                  <w:divsChild>
                    <w:div w:id="348258479">
                      <w:marLeft w:val="0"/>
                      <w:marRight w:val="0"/>
                      <w:marTop w:val="0"/>
                      <w:marBottom w:val="0"/>
                      <w:divBdr>
                        <w:top w:val="none" w:sz="0" w:space="0" w:color="auto"/>
                        <w:left w:val="none" w:sz="0" w:space="0" w:color="auto"/>
                        <w:bottom w:val="none" w:sz="0" w:space="0" w:color="auto"/>
                        <w:right w:val="none" w:sz="0" w:space="0" w:color="auto"/>
                      </w:divBdr>
                    </w:div>
                    <w:div w:id="858811307">
                      <w:marLeft w:val="0"/>
                      <w:marRight w:val="0"/>
                      <w:marTop w:val="0"/>
                      <w:marBottom w:val="0"/>
                      <w:divBdr>
                        <w:top w:val="none" w:sz="0" w:space="0" w:color="auto"/>
                        <w:left w:val="none" w:sz="0" w:space="0" w:color="auto"/>
                        <w:bottom w:val="none" w:sz="0" w:space="0" w:color="auto"/>
                        <w:right w:val="none" w:sz="0" w:space="0" w:color="auto"/>
                      </w:divBdr>
                    </w:div>
                    <w:div w:id="1865091350">
                      <w:marLeft w:val="0"/>
                      <w:marRight w:val="0"/>
                      <w:marTop w:val="0"/>
                      <w:marBottom w:val="0"/>
                      <w:divBdr>
                        <w:top w:val="none" w:sz="0" w:space="0" w:color="auto"/>
                        <w:left w:val="none" w:sz="0" w:space="0" w:color="auto"/>
                        <w:bottom w:val="none" w:sz="0" w:space="0" w:color="auto"/>
                        <w:right w:val="none" w:sz="0" w:space="0" w:color="auto"/>
                      </w:divBdr>
                      <w:divsChild>
                        <w:div w:id="789709907">
                          <w:marLeft w:val="0"/>
                          <w:marRight w:val="0"/>
                          <w:marTop w:val="0"/>
                          <w:marBottom w:val="0"/>
                          <w:divBdr>
                            <w:top w:val="none" w:sz="0" w:space="0" w:color="auto"/>
                            <w:left w:val="none" w:sz="0" w:space="0" w:color="auto"/>
                            <w:bottom w:val="none" w:sz="0" w:space="0" w:color="auto"/>
                            <w:right w:val="none" w:sz="0" w:space="0" w:color="auto"/>
                          </w:divBdr>
                        </w:div>
                        <w:div w:id="1037852209">
                          <w:marLeft w:val="240"/>
                          <w:marRight w:val="0"/>
                          <w:marTop w:val="0"/>
                          <w:marBottom w:val="0"/>
                          <w:divBdr>
                            <w:top w:val="none" w:sz="0" w:space="0" w:color="auto"/>
                            <w:left w:val="none" w:sz="0" w:space="0" w:color="auto"/>
                            <w:bottom w:val="none" w:sz="0" w:space="0" w:color="auto"/>
                            <w:right w:val="none" w:sz="0" w:space="0" w:color="auto"/>
                          </w:divBdr>
                          <w:divsChild>
                            <w:div w:id="1807892388">
                              <w:marLeft w:val="0"/>
                              <w:marRight w:val="0"/>
                              <w:marTop w:val="0"/>
                              <w:marBottom w:val="0"/>
                              <w:divBdr>
                                <w:top w:val="none" w:sz="0" w:space="0" w:color="auto"/>
                                <w:left w:val="none" w:sz="0" w:space="0" w:color="auto"/>
                                <w:bottom w:val="none" w:sz="0" w:space="0" w:color="auto"/>
                                <w:right w:val="none" w:sz="0" w:space="0" w:color="auto"/>
                              </w:divBdr>
                            </w:div>
                            <w:div w:id="419910866">
                              <w:marLeft w:val="0"/>
                              <w:marRight w:val="0"/>
                              <w:marTop w:val="0"/>
                              <w:marBottom w:val="0"/>
                              <w:divBdr>
                                <w:top w:val="none" w:sz="0" w:space="0" w:color="auto"/>
                                <w:left w:val="none" w:sz="0" w:space="0" w:color="auto"/>
                                <w:bottom w:val="none" w:sz="0" w:space="0" w:color="auto"/>
                                <w:right w:val="none" w:sz="0" w:space="0" w:color="auto"/>
                              </w:divBdr>
                            </w:div>
                            <w:div w:id="383650120">
                              <w:marLeft w:val="0"/>
                              <w:marRight w:val="0"/>
                              <w:marTop w:val="0"/>
                              <w:marBottom w:val="0"/>
                              <w:divBdr>
                                <w:top w:val="none" w:sz="0" w:space="0" w:color="auto"/>
                                <w:left w:val="none" w:sz="0" w:space="0" w:color="auto"/>
                                <w:bottom w:val="none" w:sz="0" w:space="0" w:color="auto"/>
                                <w:right w:val="none" w:sz="0" w:space="0" w:color="auto"/>
                              </w:divBdr>
                            </w:div>
                            <w:div w:id="545607550">
                              <w:marLeft w:val="0"/>
                              <w:marRight w:val="0"/>
                              <w:marTop w:val="0"/>
                              <w:marBottom w:val="0"/>
                              <w:divBdr>
                                <w:top w:val="none" w:sz="0" w:space="0" w:color="auto"/>
                                <w:left w:val="none" w:sz="0" w:space="0" w:color="auto"/>
                                <w:bottom w:val="none" w:sz="0" w:space="0" w:color="auto"/>
                                <w:right w:val="none" w:sz="0" w:space="0" w:color="auto"/>
                              </w:divBdr>
                            </w:div>
                          </w:divsChild>
                        </w:div>
                        <w:div w:id="62423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93414">
                  <w:marLeft w:val="0"/>
                  <w:marRight w:val="0"/>
                  <w:marTop w:val="0"/>
                  <w:marBottom w:val="0"/>
                  <w:divBdr>
                    <w:top w:val="none" w:sz="0" w:space="0" w:color="auto"/>
                    <w:left w:val="none" w:sz="0" w:space="0" w:color="auto"/>
                    <w:bottom w:val="none" w:sz="0" w:space="0" w:color="auto"/>
                    <w:right w:val="none" w:sz="0" w:space="0" w:color="auto"/>
                  </w:divBdr>
                </w:div>
              </w:divsChild>
            </w:div>
            <w:div w:id="849760474">
              <w:marLeft w:val="0"/>
              <w:marRight w:val="0"/>
              <w:marTop w:val="0"/>
              <w:marBottom w:val="0"/>
              <w:divBdr>
                <w:top w:val="none" w:sz="0" w:space="0" w:color="auto"/>
                <w:left w:val="none" w:sz="0" w:space="0" w:color="auto"/>
                <w:bottom w:val="none" w:sz="0" w:space="0" w:color="auto"/>
                <w:right w:val="none" w:sz="0" w:space="0" w:color="auto"/>
              </w:divBdr>
            </w:div>
            <w:div w:id="2105764098">
              <w:marLeft w:val="0"/>
              <w:marRight w:val="0"/>
              <w:marTop w:val="0"/>
              <w:marBottom w:val="0"/>
              <w:divBdr>
                <w:top w:val="none" w:sz="0" w:space="0" w:color="auto"/>
                <w:left w:val="none" w:sz="0" w:space="0" w:color="auto"/>
                <w:bottom w:val="none" w:sz="0" w:space="0" w:color="auto"/>
                <w:right w:val="none" w:sz="0" w:space="0" w:color="auto"/>
              </w:divBdr>
              <w:divsChild>
                <w:div w:id="1449858949">
                  <w:marLeft w:val="0"/>
                  <w:marRight w:val="0"/>
                  <w:marTop w:val="0"/>
                  <w:marBottom w:val="0"/>
                  <w:divBdr>
                    <w:top w:val="none" w:sz="0" w:space="0" w:color="auto"/>
                    <w:left w:val="none" w:sz="0" w:space="0" w:color="auto"/>
                    <w:bottom w:val="none" w:sz="0" w:space="0" w:color="auto"/>
                    <w:right w:val="none" w:sz="0" w:space="0" w:color="auto"/>
                  </w:divBdr>
                </w:div>
                <w:div w:id="1895308312">
                  <w:marLeft w:val="240"/>
                  <w:marRight w:val="0"/>
                  <w:marTop w:val="0"/>
                  <w:marBottom w:val="0"/>
                  <w:divBdr>
                    <w:top w:val="none" w:sz="0" w:space="0" w:color="auto"/>
                    <w:left w:val="none" w:sz="0" w:space="0" w:color="auto"/>
                    <w:bottom w:val="none" w:sz="0" w:space="0" w:color="auto"/>
                    <w:right w:val="none" w:sz="0" w:space="0" w:color="auto"/>
                  </w:divBdr>
                  <w:divsChild>
                    <w:div w:id="1447430873">
                      <w:marLeft w:val="0"/>
                      <w:marRight w:val="0"/>
                      <w:marTop w:val="0"/>
                      <w:marBottom w:val="0"/>
                      <w:divBdr>
                        <w:top w:val="none" w:sz="0" w:space="0" w:color="auto"/>
                        <w:left w:val="none" w:sz="0" w:space="0" w:color="auto"/>
                        <w:bottom w:val="none" w:sz="0" w:space="0" w:color="auto"/>
                        <w:right w:val="none" w:sz="0" w:space="0" w:color="auto"/>
                      </w:divBdr>
                    </w:div>
                    <w:div w:id="959217043">
                      <w:marLeft w:val="0"/>
                      <w:marRight w:val="0"/>
                      <w:marTop w:val="0"/>
                      <w:marBottom w:val="0"/>
                      <w:divBdr>
                        <w:top w:val="none" w:sz="0" w:space="0" w:color="auto"/>
                        <w:left w:val="none" w:sz="0" w:space="0" w:color="auto"/>
                        <w:bottom w:val="none" w:sz="0" w:space="0" w:color="auto"/>
                        <w:right w:val="none" w:sz="0" w:space="0" w:color="auto"/>
                      </w:divBdr>
                    </w:div>
                    <w:div w:id="506405982">
                      <w:marLeft w:val="0"/>
                      <w:marRight w:val="0"/>
                      <w:marTop w:val="0"/>
                      <w:marBottom w:val="0"/>
                      <w:divBdr>
                        <w:top w:val="none" w:sz="0" w:space="0" w:color="auto"/>
                        <w:left w:val="none" w:sz="0" w:space="0" w:color="auto"/>
                        <w:bottom w:val="none" w:sz="0" w:space="0" w:color="auto"/>
                        <w:right w:val="none" w:sz="0" w:space="0" w:color="auto"/>
                      </w:divBdr>
                    </w:div>
                    <w:div w:id="1161114564">
                      <w:marLeft w:val="0"/>
                      <w:marRight w:val="0"/>
                      <w:marTop w:val="0"/>
                      <w:marBottom w:val="0"/>
                      <w:divBdr>
                        <w:top w:val="none" w:sz="0" w:space="0" w:color="auto"/>
                        <w:left w:val="none" w:sz="0" w:space="0" w:color="auto"/>
                        <w:bottom w:val="none" w:sz="0" w:space="0" w:color="auto"/>
                        <w:right w:val="none" w:sz="0" w:space="0" w:color="auto"/>
                      </w:divBdr>
                    </w:div>
                    <w:div w:id="198207667">
                      <w:marLeft w:val="0"/>
                      <w:marRight w:val="0"/>
                      <w:marTop w:val="0"/>
                      <w:marBottom w:val="0"/>
                      <w:divBdr>
                        <w:top w:val="none" w:sz="0" w:space="0" w:color="auto"/>
                        <w:left w:val="none" w:sz="0" w:space="0" w:color="auto"/>
                        <w:bottom w:val="none" w:sz="0" w:space="0" w:color="auto"/>
                        <w:right w:val="none" w:sz="0" w:space="0" w:color="auto"/>
                      </w:divBdr>
                    </w:div>
                    <w:div w:id="1257322671">
                      <w:marLeft w:val="0"/>
                      <w:marRight w:val="0"/>
                      <w:marTop w:val="0"/>
                      <w:marBottom w:val="0"/>
                      <w:divBdr>
                        <w:top w:val="none" w:sz="0" w:space="0" w:color="auto"/>
                        <w:left w:val="none" w:sz="0" w:space="0" w:color="auto"/>
                        <w:bottom w:val="none" w:sz="0" w:space="0" w:color="auto"/>
                        <w:right w:val="none" w:sz="0" w:space="0" w:color="auto"/>
                      </w:divBdr>
                    </w:div>
                    <w:div w:id="969671662">
                      <w:marLeft w:val="0"/>
                      <w:marRight w:val="0"/>
                      <w:marTop w:val="0"/>
                      <w:marBottom w:val="0"/>
                      <w:divBdr>
                        <w:top w:val="none" w:sz="0" w:space="0" w:color="auto"/>
                        <w:left w:val="none" w:sz="0" w:space="0" w:color="auto"/>
                        <w:bottom w:val="none" w:sz="0" w:space="0" w:color="auto"/>
                        <w:right w:val="none" w:sz="0" w:space="0" w:color="auto"/>
                      </w:divBdr>
                    </w:div>
                    <w:div w:id="1173911698">
                      <w:marLeft w:val="0"/>
                      <w:marRight w:val="0"/>
                      <w:marTop w:val="0"/>
                      <w:marBottom w:val="0"/>
                      <w:divBdr>
                        <w:top w:val="none" w:sz="0" w:space="0" w:color="auto"/>
                        <w:left w:val="none" w:sz="0" w:space="0" w:color="auto"/>
                        <w:bottom w:val="none" w:sz="0" w:space="0" w:color="auto"/>
                        <w:right w:val="none" w:sz="0" w:space="0" w:color="auto"/>
                      </w:divBdr>
                    </w:div>
                    <w:div w:id="921334842">
                      <w:marLeft w:val="0"/>
                      <w:marRight w:val="0"/>
                      <w:marTop w:val="0"/>
                      <w:marBottom w:val="0"/>
                      <w:divBdr>
                        <w:top w:val="none" w:sz="0" w:space="0" w:color="auto"/>
                        <w:left w:val="none" w:sz="0" w:space="0" w:color="auto"/>
                        <w:bottom w:val="none" w:sz="0" w:space="0" w:color="auto"/>
                        <w:right w:val="none" w:sz="0" w:space="0" w:color="auto"/>
                      </w:divBdr>
                    </w:div>
                    <w:div w:id="2101371977">
                      <w:marLeft w:val="0"/>
                      <w:marRight w:val="0"/>
                      <w:marTop w:val="0"/>
                      <w:marBottom w:val="0"/>
                      <w:divBdr>
                        <w:top w:val="none" w:sz="0" w:space="0" w:color="auto"/>
                        <w:left w:val="none" w:sz="0" w:space="0" w:color="auto"/>
                        <w:bottom w:val="none" w:sz="0" w:space="0" w:color="auto"/>
                        <w:right w:val="none" w:sz="0" w:space="0" w:color="auto"/>
                      </w:divBdr>
                    </w:div>
                    <w:div w:id="1529097838">
                      <w:marLeft w:val="0"/>
                      <w:marRight w:val="0"/>
                      <w:marTop w:val="0"/>
                      <w:marBottom w:val="0"/>
                      <w:divBdr>
                        <w:top w:val="none" w:sz="0" w:space="0" w:color="auto"/>
                        <w:left w:val="none" w:sz="0" w:space="0" w:color="auto"/>
                        <w:bottom w:val="none" w:sz="0" w:space="0" w:color="auto"/>
                        <w:right w:val="none" w:sz="0" w:space="0" w:color="auto"/>
                      </w:divBdr>
                    </w:div>
                    <w:div w:id="959529938">
                      <w:marLeft w:val="0"/>
                      <w:marRight w:val="0"/>
                      <w:marTop w:val="0"/>
                      <w:marBottom w:val="0"/>
                      <w:divBdr>
                        <w:top w:val="none" w:sz="0" w:space="0" w:color="auto"/>
                        <w:left w:val="none" w:sz="0" w:space="0" w:color="auto"/>
                        <w:bottom w:val="none" w:sz="0" w:space="0" w:color="auto"/>
                        <w:right w:val="none" w:sz="0" w:space="0" w:color="auto"/>
                      </w:divBdr>
                    </w:div>
                    <w:div w:id="16083825">
                      <w:marLeft w:val="0"/>
                      <w:marRight w:val="0"/>
                      <w:marTop w:val="0"/>
                      <w:marBottom w:val="0"/>
                      <w:divBdr>
                        <w:top w:val="none" w:sz="0" w:space="0" w:color="auto"/>
                        <w:left w:val="none" w:sz="0" w:space="0" w:color="auto"/>
                        <w:bottom w:val="none" w:sz="0" w:space="0" w:color="auto"/>
                        <w:right w:val="none" w:sz="0" w:space="0" w:color="auto"/>
                      </w:divBdr>
                      <w:divsChild>
                        <w:div w:id="1658415066">
                          <w:marLeft w:val="0"/>
                          <w:marRight w:val="0"/>
                          <w:marTop w:val="0"/>
                          <w:marBottom w:val="0"/>
                          <w:divBdr>
                            <w:top w:val="none" w:sz="0" w:space="0" w:color="auto"/>
                            <w:left w:val="none" w:sz="0" w:space="0" w:color="auto"/>
                            <w:bottom w:val="none" w:sz="0" w:space="0" w:color="auto"/>
                            <w:right w:val="none" w:sz="0" w:space="0" w:color="auto"/>
                          </w:divBdr>
                        </w:div>
                        <w:div w:id="861044532">
                          <w:marLeft w:val="240"/>
                          <w:marRight w:val="0"/>
                          <w:marTop w:val="0"/>
                          <w:marBottom w:val="0"/>
                          <w:divBdr>
                            <w:top w:val="none" w:sz="0" w:space="0" w:color="auto"/>
                            <w:left w:val="none" w:sz="0" w:space="0" w:color="auto"/>
                            <w:bottom w:val="none" w:sz="0" w:space="0" w:color="auto"/>
                            <w:right w:val="none" w:sz="0" w:space="0" w:color="auto"/>
                          </w:divBdr>
                          <w:divsChild>
                            <w:div w:id="1150293856">
                              <w:marLeft w:val="0"/>
                              <w:marRight w:val="0"/>
                              <w:marTop w:val="0"/>
                              <w:marBottom w:val="0"/>
                              <w:divBdr>
                                <w:top w:val="none" w:sz="0" w:space="0" w:color="auto"/>
                                <w:left w:val="none" w:sz="0" w:space="0" w:color="auto"/>
                                <w:bottom w:val="none" w:sz="0" w:space="0" w:color="auto"/>
                                <w:right w:val="none" w:sz="0" w:space="0" w:color="auto"/>
                              </w:divBdr>
                            </w:div>
                            <w:div w:id="1154681609">
                              <w:marLeft w:val="0"/>
                              <w:marRight w:val="0"/>
                              <w:marTop w:val="0"/>
                              <w:marBottom w:val="0"/>
                              <w:divBdr>
                                <w:top w:val="none" w:sz="0" w:space="0" w:color="auto"/>
                                <w:left w:val="none" w:sz="0" w:space="0" w:color="auto"/>
                                <w:bottom w:val="none" w:sz="0" w:space="0" w:color="auto"/>
                                <w:right w:val="none" w:sz="0" w:space="0" w:color="auto"/>
                              </w:divBdr>
                            </w:div>
                            <w:div w:id="1279798444">
                              <w:marLeft w:val="0"/>
                              <w:marRight w:val="0"/>
                              <w:marTop w:val="0"/>
                              <w:marBottom w:val="0"/>
                              <w:divBdr>
                                <w:top w:val="none" w:sz="0" w:space="0" w:color="auto"/>
                                <w:left w:val="none" w:sz="0" w:space="0" w:color="auto"/>
                                <w:bottom w:val="none" w:sz="0" w:space="0" w:color="auto"/>
                                <w:right w:val="none" w:sz="0" w:space="0" w:color="auto"/>
                              </w:divBdr>
                              <w:divsChild>
                                <w:div w:id="1461800622">
                                  <w:marLeft w:val="0"/>
                                  <w:marRight w:val="0"/>
                                  <w:marTop w:val="0"/>
                                  <w:marBottom w:val="0"/>
                                  <w:divBdr>
                                    <w:top w:val="none" w:sz="0" w:space="0" w:color="auto"/>
                                    <w:left w:val="none" w:sz="0" w:space="0" w:color="auto"/>
                                    <w:bottom w:val="none" w:sz="0" w:space="0" w:color="auto"/>
                                    <w:right w:val="none" w:sz="0" w:space="0" w:color="auto"/>
                                  </w:divBdr>
                                </w:div>
                                <w:div w:id="280916467">
                                  <w:marLeft w:val="240"/>
                                  <w:marRight w:val="0"/>
                                  <w:marTop w:val="0"/>
                                  <w:marBottom w:val="0"/>
                                  <w:divBdr>
                                    <w:top w:val="none" w:sz="0" w:space="0" w:color="auto"/>
                                    <w:left w:val="none" w:sz="0" w:space="0" w:color="auto"/>
                                    <w:bottom w:val="none" w:sz="0" w:space="0" w:color="auto"/>
                                    <w:right w:val="none" w:sz="0" w:space="0" w:color="auto"/>
                                  </w:divBdr>
                                  <w:divsChild>
                                    <w:div w:id="156843666">
                                      <w:marLeft w:val="0"/>
                                      <w:marRight w:val="0"/>
                                      <w:marTop w:val="0"/>
                                      <w:marBottom w:val="0"/>
                                      <w:divBdr>
                                        <w:top w:val="none" w:sz="0" w:space="0" w:color="auto"/>
                                        <w:left w:val="none" w:sz="0" w:space="0" w:color="auto"/>
                                        <w:bottom w:val="none" w:sz="0" w:space="0" w:color="auto"/>
                                        <w:right w:val="none" w:sz="0" w:space="0" w:color="auto"/>
                                      </w:divBdr>
                                    </w:div>
                                    <w:div w:id="1859847626">
                                      <w:marLeft w:val="0"/>
                                      <w:marRight w:val="0"/>
                                      <w:marTop w:val="0"/>
                                      <w:marBottom w:val="0"/>
                                      <w:divBdr>
                                        <w:top w:val="none" w:sz="0" w:space="0" w:color="auto"/>
                                        <w:left w:val="none" w:sz="0" w:space="0" w:color="auto"/>
                                        <w:bottom w:val="none" w:sz="0" w:space="0" w:color="auto"/>
                                        <w:right w:val="none" w:sz="0" w:space="0" w:color="auto"/>
                                      </w:divBdr>
                                    </w:div>
                                    <w:div w:id="237984070">
                                      <w:marLeft w:val="0"/>
                                      <w:marRight w:val="0"/>
                                      <w:marTop w:val="0"/>
                                      <w:marBottom w:val="0"/>
                                      <w:divBdr>
                                        <w:top w:val="none" w:sz="0" w:space="0" w:color="auto"/>
                                        <w:left w:val="none" w:sz="0" w:space="0" w:color="auto"/>
                                        <w:bottom w:val="none" w:sz="0" w:space="0" w:color="auto"/>
                                        <w:right w:val="none" w:sz="0" w:space="0" w:color="auto"/>
                                      </w:divBdr>
                                    </w:div>
                                    <w:div w:id="128940488">
                                      <w:marLeft w:val="0"/>
                                      <w:marRight w:val="0"/>
                                      <w:marTop w:val="0"/>
                                      <w:marBottom w:val="0"/>
                                      <w:divBdr>
                                        <w:top w:val="none" w:sz="0" w:space="0" w:color="auto"/>
                                        <w:left w:val="none" w:sz="0" w:space="0" w:color="auto"/>
                                        <w:bottom w:val="none" w:sz="0" w:space="0" w:color="auto"/>
                                        <w:right w:val="none" w:sz="0" w:space="0" w:color="auto"/>
                                      </w:divBdr>
                                    </w:div>
                                  </w:divsChild>
                                </w:div>
                                <w:div w:id="382485787">
                                  <w:marLeft w:val="0"/>
                                  <w:marRight w:val="0"/>
                                  <w:marTop w:val="0"/>
                                  <w:marBottom w:val="0"/>
                                  <w:divBdr>
                                    <w:top w:val="none" w:sz="0" w:space="0" w:color="auto"/>
                                    <w:left w:val="none" w:sz="0" w:space="0" w:color="auto"/>
                                    <w:bottom w:val="none" w:sz="0" w:space="0" w:color="auto"/>
                                    <w:right w:val="none" w:sz="0" w:space="0" w:color="auto"/>
                                  </w:divBdr>
                                </w:div>
                              </w:divsChild>
                            </w:div>
                            <w:div w:id="1748648800">
                              <w:marLeft w:val="0"/>
                              <w:marRight w:val="0"/>
                              <w:marTop w:val="0"/>
                              <w:marBottom w:val="0"/>
                              <w:divBdr>
                                <w:top w:val="none" w:sz="0" w:space="0" w:color="auto"/>
                                <w:left w:val="none" w:sz="0" w:space="0" w:color="auto"/>
                                <w:bottom w:val="none" w:sz="0" w:space="0" w:color="auto"/>
                                <w:right w:val="none" w:sz="0" w:space="0" w:color="auto"/>
                              </w:divBdr>
                            </w:div>
                            <w:div w:id="1625968020">
                              <w:marLeft w:val="0"/>
                              <w:marRight w:val="0"/>
                              <w:marTop w:val="0"/>
                              <w:marBottom w:val="0"/>
                              <w:divBdr>
                                <w:top w:val="none" w:sz="0" w:space="0" w:color="auto"/>
                                <w:left w:val="none" w:sz="0" w:space="0" w:color="auto"/>
                                <w:bottom w:val="none" w:sz="0" w:space="0" w:color="auto"/>
                                <w:right w:val="none" w:sz="0" w:space="0" w:color="auto"/>
                              </w:divBdr>
                            </w:div>
                            <w:div w:id="1239631433">
                              <w:marLeft w:val="0"/>
                              <w:marRight w:val="0"/>
                              <w:marTop w:val="0"/>
                              <w:marBottom w:val="0"/>
                              <w:divBdr>
                                <w:top w:val="none" w:sz="0" w:space="0" w:color="auto"/>
                                <w:left w:val="none" w:sz="0" w:space="0" w:color="auto"/>
                                <w:bottom w:val="none" w:sz="0" w:space="0" w:color="auto"/>
                                <w:right w:val="none" w:sz="0" w:space="0" w:color="auto"/>
                              </w:divBdr>
                            </w:div>
                            <w:div w:id="1757826522">
                              <w:marLeft w:val="0"/>
                              <w:marRight w:val="0"/>
                              <w:marTop w:val="0"/>
                              <w:marBottom w:val="0"/>
                              <w:divBdr>
                                <w:top w:val="none" w:sz="0" w:space="0" w:color="auto"/>
                                <w:left w:val="none" w:sz="0" w:space="0" w:color="auto"/>
                                <w:bottom w:val="none" w:sz="0" w:space="0" w:color="auto"/>
                                <w:right w:val="none" w:sz="0" w:space="0" w:color="auto"/>
                              </w:divBdr>
                            </w:div>
                          </w:divsChild>
                        </w:div>
                        <w:div w:id="20175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14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081829">
          <w:marLeft w:val="0"/>
          <w:marRight w:val="0"/>
          <w:marTop w:val="0"/>
          <w:marBottom w:val="0"/>
          <w:divBdr>
            <w:top w:val="none" w:sz="0" w:space="0" w:color="auto"/>
            <w:left w:val="none" w:sz="0" w:space="0" w:color="auto"/>
            <w:bottom w:val="none" w:sz="0" w:space="0" w:color="auto"/>
            <w:right w:val="none" w:sz="0" w:space="0" w:color="auto"/>
          </w:divBdr>
        </w:div>
      </w:divsChild>
    </w:div>
    <w:div w:id="73742133">
      <w:bodyDiv w:val="1"/>
      <w:marLeft w:val="0"/>
      <w:marRight w:val="0"/>
      <w:marTop w:val="0"/>
      <w:marBottom w:val="0"/>
      <w:divBdr>
        <w:top w:val="none" w:sz="0" w:space="0" w:color="auto"/>
        <w:left w:val="none" w:sz="0" w:space="0" w:color="auto"/>
        <w:bottom w:val="none" w:sz="0" w:space="0" w:color="auto"/>
        <w:right w:val="none" w:sz="0" w:space="0" w:color="auto"/>
      </w:divBdr>
    </w:div>
    <w:div w:id="93477343">
      <w:bodyDiv w:val="1"/>
      <w:marLeft w:val="0"/>
      <w:marRight w:val="0"/>
      <w:marTop w:val="0"/>
      <w:marBottom w:val="0"/>
      <w:divBdr>
        <w:top w:val="none" w:sz="0" w:space="0" w:color="auto"/>
        <w:left w:val="none" w:sz="0" w:space="0" w:color="auto"/>
        <w:bottom w:val="none" w:sz="0" w:space="0" w:color="auto"/>
        <w:right w:val="none" w:sz="0" w:space="0" w:color="auto"/>
      </w:divBdr>
    </w:div>
    <w:div w:id="174423908">
      <w:bodyDiv w:val="1"/>
      <w:marLeft w:val="0"/>
      <w:marRight w:val="0"/>
      <w:marTop w:val="0"/>
      <w:marBottom w:val="0"/>
      <w:divBdr>
        <w:top w:val="none" w:sz="0" w:space="0" w:color="auto"/>
        <w:left w:val="none" w:sz="0" w:space="0" w:color="auto"/>
        <w:bottom w:val="none" w:sz="0" w:space="0" w:color="auto"/>
        <w:right w:val="none" w:sz="0" w:space="0" w:color="auto"/>
      </w:divBdr>
    </w:div>
    <w:div w:id="605383136">
      <w:bodyDiv w:val="1"/>
      <w:marLeft w:val="0"/>
      <w:marRight w:val="0"/>
      <w:marTop w:val="0"/>
      <w:marBottom w:val="0"/>
      <w:divBdr>
        <w:top w:val="none" w:sz="0" w:space="0" w:color="auto"/>
        <w:left w:val="none" w:sz="0" w:space="0" w:color="auto"/>
        <w:bottom w:val="none" w:sz="0" w:space="0" w:color="auto"/>
        <w:right w:val="none" w:sz="0" w:space="0" w:color="auto"/>
      </w:divBdr>
    </w:div>
    <w:div w:id="620576975">
      <w:bodyDiv w:val="1"/>
      <w:marLeft w:val="0"/>
      <w:marRight w:val="0"/>
      <w:marTop w:val="0"/>
      <w:marBottom w:val="0"/>
      <w:divBdr>
        <w:top w:val="none" w:sz="0" w:space="0" w:color="auto"/>
        <w:left w:val="none" w:sz="0" w:space="0" w:color="auto"/>
        <w:bottom w:val="none" w:sz="0" w:space="0" w:color="auto"/>
        <w:right w:val="none" w:sz="0" w:space="0" w:color="auto"/>
      </w:divBdr>
    </w:div>
    <w:div w:id="689141960">
      <w:bodyDiv w:val="1"/>
      <w:marLeft w:val="0"/>
      <w:marRight w:val="0"/>
      <w:marTop w:val="0"/>
      <w:marBottom w:val="0"/>
      <w:divBdr>
        <w:top w:val="none" w:sz="0" w:space="0" w:color="auto"/>
        <w:left w:val="none" w:sz="0" w:space="0" w:color="auto"/>
        <w:bottom w:val="none" w:sz="0" w:space="0" w:color="auto"/>
        <w:right w:val="none" w:sz="0" w:space="0" w:color="auto"/>
      </w:divBdr>
    </w:div>
    <w:div w:id="971982869">
      <w:bodyDiv w:val="1"/>
      <w:marLeft w:val="0"/>
      <w:marRight w:val="0"/>
      <w:marTop w:val="0"/>
      <w:marBottom w:val="0"/>
      <w:divBdr>
        <w:top w:val="none" w:sz="0" w:space="0" w:color="auto"/>
        <w:left w:val="none" w:sz="0" w:space="0" w:color="auto"/>
        <w:bottom w:val="none" w:sz="0" w:space="0" w:color="auto"/>
        <w:right w:val="none" w:sz="0" w:space="0" w:color="auto"/>
      </w:divBdr>
    </w:div>
    <w:div w:id="1069038204">
      <w:bodyDiv w:val="1"/>
      <w:marLeft w:val="0"/>
      <w:marRight w:val="0"/>
      <w:marTop w:val="0"/>
      <w:marBottom w:val="0"/>
      <w:divBdr>
        <w:top w:val="none" w:sz="0" w:space="0" w:color="auto"/>
        <w:left w:val="none" w:sz="0" w:space="0" w:color="auto"/>
        <w:bottom w:val="none" w:sz="0" w:space="0" w:color="auto"/>
        <w:right w:val="none" w:sz="0" w:space="0" w:color="auto"/>
      </w:divBdr>
      <w:divsChild>
        <w:div w:id="160396731">
          <w:marLeft w:val="0"/>
          <w:marRight w:val="0"/>
          <w:marTop w:val="0"/>
          <w:marBottom w:val="0"/>
          <w:divBdr>
            <w:top w:val="none" w:sz="0" w:space="0" w:color="auto"/>
            <w:left w:val="none" w:sz="0" w:space="0" w:color="auto"/>
            <w:bottom w:val="none" w:sz="0" w:space="0" w:color="auto"/>
            <w:right w:val="none" w:sz="0" w:space="0" w:color="auto"/>
          </w:divBdr>
          <w:divsChild>
            <w:div w:id="1304576245">
              <w:marLeft w:val="0"/>
              <w:marRight w:val="0"/>
              <w:marTop w:val="0"/>
              <w:marBottom w:val="0"/>
              <w:divBdr>
                <w:top w:val="none" w:sz="0" w:space="0" w:color="auto"/>
                <w:left w:val="none" w:sz="0" w:space="0" w:color="auto"/>
                <w:bottom w:val="none" w:sz="0" w:space="0" w:color="auto"/>
                <w:right w:val="none" w:sz="0" w:space="0" w:color="auto"/>
              </w:divBdr>
              <w:divsChild>
                <w:div w:id="1796479957">
                  <w:marLeft w:val="0"/>
                  <w:marRight w:val="0"/>
                  <w:marTop w:val="0"/>
                  <w:marBottom w:val="0"/>
                  <w:divBdr>
                    <w:top w:val="none" w:sz="0" w:space="0" w:color="auto"/>
                    <w:left w:val="none" w:sz="0" w:space="0" w:color="auto"/>
                    <w:bottom w:val="none" w:sz="0" w:space="0" w:color="auto"/>
                    <w:right w:val="none" w:sz="0" w:space="0" w:color="auto"/>
                  </w:divBdr>
                  <w:divsChild>
                    <w:div w:id="179321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744063">
          <w:marLeft w:val="0"/>
          <w:marRight w:val="0"/>
          <w:marTop w:val="0"/>
          <w:marBottom w:val="0"/>
          <w:divBdr>
            <w:top w:val="none" w:sz="0" w:space="0" w:color="auto"/>
            <w:left w:val="none" w:sz="0" w:space="0" w:color="auto"/>
            <w:bottom w:val="none" w:sz="0" w:space="0" w:color="auto"/>
            <w:right w:val="none" w:sz="0" w:space="0" w:color="auto"/>
          </w:divBdr>
          <w:divsChild>
            <w:div w:id="1321999932">
              <w:marLeft w:val="0"/>
              <w:marRight w:val="0"/>
              <w:marTop w:val="0"/>
              <w:marBottom w:val="0"/>
              <w:divBdr>
                <w:top w:val="none" w:sz="0" w:space="0" w:color="auto"/>
                <w:left w:val="none" w:sz="0" w:space="0" w:color="auto"/>
                <w:bottom w:val="none" w:sz="0" w:space="0" w:color="auto"/>
                <w:right w:val="none" w:sz="0" w:space="0" w:color="auto"/>
              </w:divBdr>
              <w:divsChild>
                <w:div w:id="1142502599">
                  <w:marLeft w:val="0"/>
                  <w:marRight w:val="0"/>
                  <w:marTop w:val="0"/>
                  <w:marBottom w:val="0"/>
                  <w:divBdr>
                    <w:top w:val="none" w:sz="0" w:space="0" w:color="auto"/>
                    <w:left w:val="none" w:sz="0" w:space="0" w:color="auto"/>
                    <w:bottom w:val="none" w:sz="0" w:space="0" w:color="auto"/>
                    <w:right w:val="none" w:sz="0" w:space="0" w:color="auto"/>
                  </w:divBdr>
                  <w:divsChild>
                    <w:div w:id="64424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196917">
      <w:bodyDiv w:val="1"/>
      <w:marLeft w:val="0"/>
      <w:marRight w:val="0"/>
      <w:marTop w:val="0"/>
      <w:marBottom w:val="0"/>
      <w:divBdr>
        <w:top w:val="none" w:sz="0" w:space="0" w:color="auto"/>
        <w:left w:val="none" w:sz="0" w:space="0" w:color="auto"/>
        <w:bottom w:val="none" w:sz="0" w:space="0" w:color="auto"/>
        <w:right w:val="none" w:sz="0" w:space="0" w:color="auto"/>
      </w:divBdr>
    </w:div>
    <w:div w:id="1242328848">
      <w:bodyDiv w:val="1"/>
      <w:marLeft w:val="0"/>
      <w:marRight w:val="0"/>
      <w:marTop w:val="0"/>
      <w:marBottom w:val="0"/>
      <w:divBdr>
        <w:top w:val="none" w:sz="0" w:space="0" w:color="auto"/>
        <w:left w:val="none" w:sz="0" w:space="0" w:color="auto"/>
        <w:bottom w:val="none" w:sz="0" w:space="0" w:color="auto"/>
        <w:right w:val="none" w:sz="0" w:space="0" w:color="auto"/>
      </w:divBdr>
    </w:div>
    <w:div w:id="1557543917">
      <w:bodyDiv w:val="1"/>
      <w:marLeft w:val="0"/>
      <w:marRight w:val="0"/>
      <w:marTop w:val="0"/>
      <w:marBottom w:val="0"/>
      <w:divBdr>
        <w:top w:val="none" w:sz="0" w:space="0" w:color="auto"/>
        <w:left w:val="none" w:sz="0" w:space="0" w:color="auto"/>
        <w:bottom w:val="none" w:sz="0" w:space="0" w:color="auto"/>
        <w:right w:val="none" w:sz="0" w:space="0" w:color="auto"/>
      </w:divBdr>
    </w:div>
    <w:div w:id="1666587742">
      <w:bodyDiv w:val="1"/>
      <w:marLeft w:val="0"/>
      <w:marRight w:val="0"/>
      <w:marTop w:val="0"/>
      <w:marBottom w:val="0"/>
      <w:divBdr>
        <w:top w:val="none" w:sz="0" w:space="0" w:color="auto"/>
        <w:left w:val="none" w:sz="0" w:space="0" w:color="auto"/>
        <w:bottom w:val="none" w:sz="0" w:space="0" w:color="auto"/>
        <w:right w:val="none" w:sz="0" w:space="0" w:color="auto"/>
      </w:divBdr>
    </w:div>
    <w:div w:id="1689067024">
      <w:bodyDiv w:val="1"/>
      <w:marLeft w:val="0"/>
      <w:marRight w:val="0"/>
      <w:marTop w:val="0"/>
      <w:marBottom w:val="0"/>
      <w:divBdr>
        <w:top w:val="none" w:sz="0" w:space="0" w:color="auto"/>
        <w:left w:val="none" w:sz="0" w:space="0" w:color="auto"/>
        <w:bottom w:val="none" w:sz="0" w:space="0" w:color="auto"/>
        <w:right w:val="none" w:sz="0" w:space="0" w:color="auto"/>
      </w:divBdr>
      <w:divsChild>
        <w:div w:id="104430276">
          <w:marLeft w:val="0"/>
          <w:marRight w:val="0"/>
          <w:marTop w:val="0"/>
          <w:marBottom w:val="0"/>
          <w:divBdr>
            <w:top w:val="none" w:sz="0" w:space="0" w:color="auto"/>
            <w:left w:val="none" w:sz="0" w:space="0" w:color="auto"/>
            <w:bottom w:val="none" w:sz="0" w:space="0" w:color="auto"/>
            <w:right w:val="none" w:sz="0" w:space="0" w:color="auto"/>
          </w:divBdr>
        </w:div>
        <w:div w:id="359937308">
          <w:marLeft w:val="0"/>
          <w:marRight w:val="0"/>
          <w:marTop w:val="0"/>
          <w:marBottom w:val="0"/>
          <w:divBdr>
            <w:top w:val="none" w:sz="0" w:space="0" w:color="auto"/>
            <w:left w:val="none" w:sz="0" w:space="0" w:color="auto"/>
            <w:bottom w:val="none" w:sz="0" w:space="0" w:color="auto"/>
            <w:right w:val="none" w:sz="0" w:space="0" w:color="auto"/>
          </w:divBdr>
        </w:div>
        <w:div w:id="1087078327">
          <w:marLeft w:val="0"/>
          <w:marRight w:val="0"/>
          <w:marTop w:val="0"/>
          <w:marBottom w:val="0"/>
          <w:divBdr>
            <w:top w:val="none" w:sz="0" w:space="0" w:color="auto"/>
            <w:left w:val="none" w:sz="0" w:space="0" w:color="auto"/>
            <w:bottom w:val="none" w:sz="0" w:space="0" w:color="auto"/>
            <w:right w:val="none" w:sz="0" w:space="0" w:color="auto"/>
          </w:divBdr>
        </w:div>
        <w:div w:id="1248612409">
          <w:marLeft w:val="0"/>
          <w:marRight w:val="0"/>
          <w:marTop w:val="0"/>
          <w:marBottom w:val="0"/>
          <w:divBdr>
            <w:top w:val="none" w:sz="0" w:space="0" w:color="auto"/>
            <w:left w:val="none" w:sz="0" w:space="0" w:color="auto"/>
            <w:bottom w:val="none" w:sz="0" w:space="0" w:color="auto"/>
            <w:right w:val="none" w:sz="0" w:space="0" w:color="auto"/>
          </w:divBdr>
        </w:div>
        <w:div w:id="1759788823">
          <w:marLeft w:val="0"/>
          <w:marRight w:val="0"/>
          <w:marTop w:val="0"/>
          <w:marBottom w:val="0"/>
          <w:divBdr>
            <w:top w:val="none" w:sz="0" w:space="0" w:color="auto"/>
            <w:left w:val="none" w:sz="0" w:space="0" w:color="auto"/>
            <w:bottom w:val="none" w:sz="0" w:space="0" w:color="auto"/>
            <w:right w:val="none" w:sz="0" w:space="0" w:color="auto"/>
          </w:divBdr>
        </w:div>
        <w:div w:id="1762140356">
          <w:marLeft w:val="0"/>
          <w:marRight w:val="0"/>
          <w:marTop w:val="0"/>
          <w:marBottom w:val="0"/>
          <w:divBdr>
            <w:top w:val="none" w:sz="0" w:space="0" w:color="auto"/>
            <w:left w:val="none" w:sz="0" w:space="0" w:color="auto"/>
            <w:bottom w:val="none" w:sz="0" w:space="0" w:color="auto"/>
            <w:right w:val="none" w:sz="0" w:space="0" w:color="auto"/>
          </w:divBdr>
        </w:div>
        <w:div w:id="1857571919">
          <w:marLeft w:val="0"/>
          <w:marRight w:val="0"/>
          <w:marTop w:val="0"/>
          <w:marBottom w:val="0"/>
          <w:divBdr>
            <w:top w:val="none" w:sz="0" w:space="0" w:color="auto"/>
            <w:left w:val="none" w:sz="0" w:space="0" w:color="auto"/>
            <w:bottom w:val="none" w:sz="0" w:space="0" w:color="auto"/>
            <w:right w:val="none" w:sz="0" w:space="0" w:color="auto"/>
          </w:divBdr>
        </w:div>
        <w:div w:id="2030061023">
          <w:marLeft w:val="0"/>
          <w:marRight w:val="0"/>
          <w:marTop w:val="0"/>
          <w:marBottom w:val="0"/>
          <w:divBdr>
            <w:top w:val="none" w:sz="0" w:space="0" w:color="auto"/>
            <w:left w:val="none" w:sz="0" w:space="0" w:color="auto"/>
            <w:bottom w:val="none" w:sz="0" w:space="0" w:color="auto"/>
            <w:right w:val="none" w:sz="0" w:space="0" w:color="auto"/>
          </w:divBdr>
        </w:div>
        <w:div w:id="2032951504">
          <w:marLeft w:val="0"/>
          <w:marRight w:val="0"/>
          <w:marTop w:val="0"/>
          <w:marBottom w:val="0"/>
          <w:divBdr>
            <w:top w:val="none" w:sz="0" w:space="0" w:color="auto"/>
            <w:left w:val="none" w:sz="0" w:space="0" w:color="auto"/>
            <w:bottom w:val="none" w:sz="0" w:space="0" w:color="auto"/>
            <w:right w:val="none" w:sz="0" w:space="0" w:color="auto"/>
          </w:divBdr>
        </w:div>
      </w:divsChild>
    </w:div>
    <w:div w:id="1695883202">
      <w:bodyDiv w:val="1"/>
      <w:marLeft w:val="0"/>
      <w:marRight w:val="0"/>
      <w:marTop w:val="0"/>
      <w:marBottom w:val="0"/>
      <w:divBdr>
        <w:top w:val="none" w:sz="0" w:space="0" w:color="auto"/>
        <w:left w:val="none" w:sz="0" w:space="0" w:color="auto"/>
        <w:bottom w:val="none" w:sz="0" w:space="0" w:color="auto"/>
        <w:right w:val="none" w:sz="0" w:space="0" w:color="auto"/>
      </w:divBdr>
    </w:div>
    <w:div w:id="1783501200">
      <w:bodyDiv w:val="1"/>
      <w:marLeft w:val="0"/>
      <w:marRight w:val="0"/>
      <w:marTop w:val="0"/>
      <w:marBottom w:val="0"/>
      <w:divBdr>
        <w:top w:val="none" w:sz="0" w:space="0" w:color="auto"/>
        <w:left w:val="none" w:sz="0" w:space="0" w:color="auto"/>
        <w:bottom w:val="none" w:sz="0" w:space="0" w:color="auto"/>
        <w:right w:val="none" w:sz="0" w:space="0" w:color="auto"/>
      </w:divBdr>
    </w:div>
    <w:div w:id="1831022366">
      <w:bodyDiv w:val="1"/>
      <w:marLeft w:val="0"/>
      <w:marRight w:val="0"/>
      <w:marTop w:val="0"/>
      <w:marBottom w:val="0"/>
      <w:divBdr>
        <w:top w:val="none" w:sz="0" w:space="0" w:color="auto"/>
        <w:left w:val="none" w:sz="0" w:space="0" w:color="auto"/>
        <w:bottom w:val="none" w:sz="0" w:space="0" w:color="auto"/>
        <w:right w:val="none" w:sz="0" w:space="0" w:color="auto"/>
      </w:divBdr>
    </w:div>
    <w:div w:id="1888955245">
      <w:bodyDiv w:val="1"/>
      <w:marLeft w:val="0"/>
      <w:marRight w:val="0"/>
      <w:marTop w:val="0"/>
      <w:marBottom w:val="0"/>
      <w:divBdr>
        <w:top w:val="none" w:sz="0" w:space="0" w:color="auto"/>
        <w:left w:val="none" w:sz="0" w:space="0" w:color="auto"/>
        <w:bottom w:val="none" w:sz="0" w:space="0" w:color="auto"/>
        <w:right w:val="none" w:sz="0" w:space="0" w:color="auto"/>
      </w:divBdr>
    </w:div>
    <w:div w:id="1899899113">
      <w:bodyDiv w:val="1"/>
      <w:marLeft w:val="0"/>
      <w:marRight w:val="0"/>
      <w:marTop w:val="0"/>
      <w:marBottom w:val="0"/>
      <w:divBdr>
        <w:top w:val="none" w:sz="0" w:space="0" w:color="auto"/>
        <w:left w:val="none" w:sz="0" w:space="0" w:color="auto"/>
        <w:bottom w:val="none" w:sz="0" w:space="0" w:color="auto"/>
        <w:right w:val="none" w:sz="0" w:space="0" w:color="auto"/>
      </w:divBdr>
    </w:div>
    <w:div w:id="213466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tsog.eu/sites/default/files/2025-02/entsog_CBA_methodolgy_report_250225.pdf"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ntsog.eu/sites/default/files/2025-02/entsog_CBA_methodolgy_report_250225.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d0c044e0622d11e5b316b7e07d98304b/as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ntsog.eu/sites/default/files/2023-06/Draft%20ENTSOG%20CBA%20Methodology_June%20202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4" ma:contentTypeDescription="Create a new document." ma:contentTypeScope="" ma:versionID="58c1426c38e3eeb2aa3dd95c8bc2fc94">
  <xsd:schema xmlns:xsd="http://www.w3.org/2001/XMLSchema" xmlns:xs="http://www.w3.org/2001/XMLSchema" xmlns:p="http://schemas.microsoft.com/office/2006/metadata/properties" xmlns:ns2="fe5b04a0-8b8e-464e-9743-854890571a5d" xmlns:ns3="34ce91fa-ca6e-4f71-ad8c-0d7258e38b56" targetNamespace="http://schemas.microsoft.com/office/2006/metadata/properties" ma:root="true" ma:fieldsID="48e1e804104da6004e6c988630d6c25b" ns2:_="" ns3:_="">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d48a0b8-1708-4770-9d31-0fe7abfbf0b3}"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5b04a0-8b8e-464e-9743-854890571a5d">
      <Terms xmlns="http://schemas.microsoft.com/office/infopath/2007/PartnerControls"/>
    </lcf76f155ced4ddcb4097134ff3c332f>
    <TaxCatchAll xmlns="34ce91fa-ca6e-4f71-ad8c-0d7258e38b56" xsi:nil="true"/>
    <SharedWithUsers xmlns="34ce91fa-ca6e-4f71-ad8c-0d7258e38b56">
      <UserInfo>
        <DisplayName/>
        <AccountId xsi:nil="true"/>
        <AccountType/>
      </UserInfo>
    </SharedWithUsers>
  </documentManagement>
</p:properties>
</file>

<file path=customXml/itemProps1.xml><?xml version="1.0" encoding="utf-8"?>
<ds:datastoreItem xmlns:ds="http://schemas.openxmlformats.org/officeDocument/2006/customXml" ds:itemID="{FA0E3421-A561-47DE-B949-89653F64F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704E4-0627-451E-9C62-E5E91A0E3A1C}">
  <ds:schemaRefs>
    <ds:schemaRef ds:uri="http://schemas.openxmlformats.org/officeDocument/2006/bibliography"/>
  </ds:schemaRefs>
</ds:datastoreItem>
</file>

<file path=customXml/itemProps3.xml><?xml version="1.0" encoding="utf-8"?>
<ds:datastoreItem xmlns:ds="http://schemas.openxmlformats.org/officeDocument/2006/customXml" ds:itemID="{AA0D0942-8924-4E44-9C94-333EFA74C00A}">
  <ds:schemaRefs>
    <ds:schemaRef ds:uri="http://schemas.microsoft.com/sharepoint/v3/contenttype/forms"/>
  </ds:schemaRefs>
</ds:datastoreItem>
</file>

<file path=customXml/itemProps4.xml><?xml version="1.0" encoding="utf-8"?>
<ds:datastoreItem xmlns:ds="http://schemas.openxmlformats.org/officeDocument/2006/customXml" ds:itemID="{6BEDC90E-DA3A-4754-86BC-98C05091DC0F}">
  <ds:schemaRefs>
    <ds:schemaRef ds:uri="http://schemas.microsoft.com/office/2006/documentManagement/types"/>
    <ds:schemaRef ds:uri="http://schemas.microsoft.com/office/2006/metadata/properties"/>
    <ds:schemaRef ds:uri="http://www.w3.org/XML/1998/namespace"/>
    <ds:schemaRef ds:uri="fe5b04a0-8b8e-464e-9743-854890571a5d"/>
    <ds:schemaRef ds:uri="http://purl.org/dc/elements/1.1/"/>
    <ds:schemaRef ds:uri="34ce91fa-ca6e-4f71-ad8c-0d7258e38b56"/>
    <ds:schemaRef ds:uri="http://purl.org/dc/terms/"/>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2377</TotalTime>
  <Pages>7</Pages>
  <Words>9775</Words>
  <Characters>5572</Characters>
  <Application>Microsoft Office Word</Application>
  <DocSecurity>0</DocSecurity>
  <Lines>46</Lines>
  <Paragraphs>30</Paragraphs>
  <ScaleCrop>false</ScaleCrop>
  <Company>AB AmberGrid</Company>
  <LinksUpToDate>false</LinksUpToDate>
  <CharactersWithSpaces>15317</CharactersWithSpaces>
  <SharedDoc>false</SharedDoc>
  <HLinks>
    <vt:vector size="36" baseType="variant">
      <vt:variant>
        <vt:i4>7864441</vt:i4>
      </vt:variant>
      <vt:variant>
        <vt:i4>9</vt:i4>
      </vt:variant>
      <vt:variant>
        <vt:i4>0</vt:i4>
      </vt:variant>
      <vt:variant>
        <vt:i4>5</vt:i4>
      </vt:variant>
      <vt:variant>
        <vt:lpwstr>https://www.entsog.eu/sites/default/files/2025-02/entsog_CBA_methodolgy_report_250225.pdf</vt:lpwstr>
      </vt:variant>
      <vt:variant>
        <vt:lpwstr/>
      </vt:variant>
      <vt:variant>
        <vt:i4>2359347</vt:i4>
      </vt:variant>
      <vt:variant>
        <vt:i4>6</vt:i4>
      </vt:variant>
      <vt:variant>
        <vt:i4>0</vt:i4>
      </vt:variant>
      <vt:variant>
        <vt:i4>5</vt:i4>
      </vt:variant>
      <vt:variant>
        <vt:lpwstr>https://e-seimas.lrs.lt/portal/legalAct/lt/TAD/d0c044e0622d11e5b316b7e07d98304b/asr</vt:lpwstr>
      </vt:variant>
      <vt:variant>
        <vt:lpwstr/>
      </vt:variant>
      <vt:variant>
        <vt:i4>7864441</vt:i4>
      </vt:variant>
      <vt:variant>
        <vt:i4>3</vt:i4>
      </vt:variant>
      <vt:variant>
        <vt:i4>0</vt:i4>
      </vt:variant>
      <vt:variant>
        <vt:i4>5</vt:i4>
      </vt:variant>
      <vt:variant>
        <vt:lpwstr>https://www.entsog.eu/sites/default/files/2025-02/entsog_CBA_methodolgy_report_250225.pdf</vt:lpwstr>
      </vt:variant>
      <vt:variant>
        <vt:lpwstr/>
      </vt:variant>
      <vt:variant>
        <vt:i4>5308538</vt:i4>
      </vt:variant>
      <vt:variant>
        <vt:i4>0</vt:i4>
      </vt:variant>
      <vt:variant>
        <vt:i4>0</vt:i4>
      </vt:variant>
      <vt:variant>
        <vt:i4>5</vt:i4>
      </vt:variant>
      <vt:variant>
        <vt:lpwstr>https://www.entsog.eu/sites/default/files/2023-06/Draft ENTSOG CBA Methodology_June 2023.pdf</vt:lpwstr>
      </vt:variant>
      <vt:variant>
        <vt:lpwstr/>
      </vt:variant>
      <vt:variant>
        <vt:i4>393343</vt:i4>
      </vt:variant>
      <vt:variant>
        <vt:i4>3</vt:i4>
      </vt:variant>
      <vt:variant>
        <vt:i4>0</vt:i4>
      </vt:variant>
      <vt:variant>
        <vt:i4>5</vt:i4>
      </vt:variant>
      <vt:variant>
        <vt:lpwstr>mailto:A.Zakarauskas@ambergrid.lt</vt:lpwstr>
      </vt:variant>
      <vt:variant>
        <vt:lpwstr/>
      </vt:variant>
      <vt:variant>
        <vt:i4>65559</vt:i4>
      </vt:variant>
      <vt:variant>
        <vt:i4>0</vt:i4>
      </vt:variant>
      <vt:variant>
        <vt:i4>0</vt:i4>
      </vt:variant>
      <vt:variant>
        <vt:i4>5</vt:i4>
      </vt:variant>
      <vt:variant>
        <vt:lpwstr>https://eur-lex.europa.eu/legal-content/EN/TXT/PDF/?uri=CELEX:02022R0869-20250205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Ignas Ambrazevičius</dc:creator>
  <cp:keywords/>
  <dc:description/>
  <cp:lastModifiedBy>Lina Rudzianskienė</cp:lastModifiedBy>
  <cp:revision>1015</cp:revision>
  <dcterms:created xsi:type="dcterms:W3CDTF">2025-01-15T09:37:00Z</dcterms:created>
  <dcterms:modified xsi:type="dcterms:W3CDTF">2025-07-18T07:49:00Z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0x0101007270B99AF319CC4F8A9C95E14E785931</vt:lpwstr>
  </property>
  <property fmtid="{D5CDD505-2E9C-101B-9397-08002B2CF9AE}" pid="3" name="Order">
    <vt:r8>3279900</vt:r8>
  </property>
  <property fmtid="{D5CDD505-2E9C-101B-9397-08002B2CF9AE}" pid="4" name="ComplianceAssetId">
    <vt:lpwstr/>
  </property>
  <property fmtid="{D5CDD505-2E9C-101B-9397-08002B2CF9AE}" pid="5" name="_activity">
    <vt:lpwstr>{"FileActivityType":"6","FileActivityTimeStamp":"2025-03-02T14:40:39.043Z","FileActivityUsersOnPage":[{"DisplayName":"Lina Rudzianskienė","Id":"l.rudzianskiene@ambergrid.lt"}],"FileActivityNavigationId":null}</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ies>
</file>